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24"/>
        </w:rPr>
      </w:pPr>
    </w:p>
    <w:p>
      <w:pPr>
        <w:spacing w:before="56" w:line="309" w:lineRule="auto"/>
        <w:ind w:left="510" w:right="567" w:firstLine="0"/>
        <w:jc w:val="center"/>
        <w:rPr>
          <w:b/>
          <w:sz w:val="38"/>
        </w:rPr>
      </w:pPr>
      <w:r>
        <w:rPr>
          <w:rFonts w:ascii="Arial Narrow" w:eastAsia="Arial Narrow"/>
          <w:b/>
          <w:w w:val="105"/>
          <w:sz w:val="60"/>
        </w:rPr>
        <w:t>2020</w:t>
      </w:r>
      <w:r>
        <w:rPr>
          <w:rFonts w:ascii="Arial Narrow" w:eastAsia="Arial Narrow"/>
          <w:b/>
          <w:spacing w:val="-91"/>
          <w:w w:val="105"/>
          <w:sz w:val="60"/>
        </w:rPr>
        <w:t xml:space="preserve"> </w:t>
      </w:r>
      <w:r>
        <w:rPr>
          <w:b/>
          <w:spacing w:val="-33"/>
          <w:w w:val="105"/>
          <w:sz w:val="44"/>
        </w:rPr>
        <w:t xml:space="preserve">中国国际第 </w:t>
      </w:r>
      <w:r>
        <w:rPr>
          <w:rFonts w:ascii="Arial Narrow" w:eastAsia="Arial Narrow"/>
          <w:b/>
          <w:color w:val="003366"/>
          <w:w w:val="105"/>
          <w:sz w:val="60"/>
        </w:rPr>
        <w:t>18</w:t>
      </w:r>
      <w:r>
        <w:rPr>
          <w:rFonts w:ascii="Arial Narrow" w:eastAsia="Arial Narrow"/>
          <w:b/>
          <w:color w:val="003366"/>
          <w:spacing w:val="-91"/>
          <w:w w:val="105"/>
          <w:sz w:val="60"/>
        </w:rPr>
        <w:t xml:space="preserve"> </w:t>
      </w:r>
      <w:r>
        <w:rPr>
          <w:b/>
          <w:spacing w:val="-2"/>
          <w:w w:val="105"/>
          <w:sz w:val="44"/>
        </w:rPr>
        <w:t>届现代救援医学论坛</w:t>
      </w:r>
      <w:r>
        <w:rPr>
          <w:b/>
          <w:w w:val="105"/>
          <w:sz w:val="44"/>
        </w:rPr>
        <w:t>暨中国国际卫生应急产业展览会</w:t>
      </w:r>
    </w:p>
    <w:p>
      <w:pPr>
        <w:spacing w:before="0"/>
        <w:ind w:left="507" w:right="567" w:firstLine="0"/>
        <w:jc w:val="center"/>
        <w:rPr>
          <w:b/>
          <w:sz w:val="48"/>
        </w:rPr>
      </w:pPr>
      <w:r>
        <w:rPr>
          <w:b/>
          <w:sz w:val="48"/>
        </w:rPr>
        <w:t>邀 请 函</w:t>
      </w:r>
    </w:p>
    <w:p>
      <w:pPr>
        <w:spacing w:before="0"/>
        <w:ind w:left="507" w:right="567" w:firstLine="0"/>
        <w:jc w:val="center"/>
        <w:rPr>
          <w:b/>
          <w:sz w:val="48"/>
        </w:rPr>
      </w:pPr>
    </w:p>
    <w:p>
      <w:pPr>
        <w:spacing w:before="0"/>
        <w:ind w:left="507" w:right="567" w:firstLine="0"/>
        <w:jc w:val="center"/>
        <w:rPr>
          <w:rFonts w:hint="default" w:eastAsia="幼圆"/>
          <w:b/>
          <w:sz w:val="28"/>
          <w:szCs w:val="15"/>
          <w:lang w:val="en-US" w:eastAsia="zh-CN"/>
        </w:rPr>
      </w:pPr>
      <w:r>
        <w:rPr>
          <w:rFonts w:hint="eastAsia"/>
          <w:b/>
          <w:sz w:val="28"/>
          <w:szCs w:val="15"/>
          <w:lang w:val="en-US" w:eastAsia="zh-CN"/>
        </w:rPr>
        <w:t>2020年11月6-8日  天津梅江会展中心</w:t>
      </w:r>
    </w:p>
    <w:p>
      <w:pPr>
        <w:pStyle w:val="4"/>
        <w:spacing w:before="5"/>
        <w:rPr>
          <w:b/>
          <w:sz w:val="34"/>
        </w:rPr>
      </w:pPr>
    </w:p>
    <w:p>
      <w:pPr>
        <w:spacing w:before="0" w:line="328" w:lineRule="auto"/>
        <w:ind w:left="158" w:right="215" w:firstLine="480"/>
        <w:jc w:val="both"/>
        <w:rPr>
          <w:sz w:val="24"/>
        </w:rPr>
      </w:pPr>
      <w:r>
        <w:rPr>
          <w:spacing w:val="-7"/>
          <w:sz w:val="24"/>
        </w:rPr>
        <w:t>疫情时期，展览人无法像医护人员一样奋战在＂抗疫＂一线，用展览专业与卫生应</w:t>
      </w:r>
      <w:r>
        <w:rPr>
          <w:spacing w:val="-3"/>
          <w:sz w:val="24"/>
        </w:rPr>
        <w:t>急产业的结合解决人们关心的安全问题和促进消费提高经济，用思考与行动践行为民报国梦想，我们义不容辞。</w:t>
      </w:r>
      <w:r>
        <w:rPr>
          <w:color w:val="003366"/>
          <w:sz w:val="24"/>
        </w:rPr>
        <w:t>“</w:t>
      </w:r>
      <w:r>
        <w:rPr>
          <w:b/>
          <w:color w:val="003366"/>
          <w:sz w:val="24"/>
        </w:rPr>
        <w:t>2020</w:t>
      </w:r>
      <w:r>
        <w:rPr>
          <w:b/>
          <w:color w:val="003366"/>
          <w:spacing w:val="-19"/>
          <w:sz w:val="24"/>
        </w:rPr>
        <w:t xml:space="preserve"> 中国国际第 </w:t>
      </w:r>
      <w:r>
        <w:rPr>
          <w:b/>
          <w:color w:val="003366"/>
          <w:sz w:val="24"/>
        </w:rPr>
        <w:t>18</w:t>
      </w:r>
      <w:r>
        <w:rPr>
          <w:b/>
          <w:color w:val="003366"/>
          <w:spacing w:val="-9"/>
          <w:sz w:val="24"/>
        </w:rPr>
        <w:t xml:space="preserve"> 届现代救援医学论坛暨中国国际卫生应</w:t>
      </w:r>
      <w:r>
        <w:rPr>
          <w:b/>
          <w:color w:val="003366"/>
          <w:sz w:val="24"/>
        </w:rPr>
        <w:t>急产业展览会</w:t>
      </w:r>
      <w:r>
        <w:rPr>
          <w:color w:val="003366"/>
          <w:spacing w:val="-28"/>
          <w:sz w:val="24"/>
        </w:rPr>
        <w:t>”</w:t>
      </w:r>
      <w:r>
        <w:rPr>
          <w:spacing w:val="-3"/>
          <w:sz w:val="24"/>
        </w:rPr>
        <w:t>将带来一次卫生应急产业的国内外产品集合与技术演习，呈现一场全民</w:t>
      </w:r>
      <w:r>
        <w:rPr>
          <w:sz w:val="24"/>
        </w:rPr>
        <w:t>看得懂的卫生应急领域专业盛会，诚邀您参展！</w:t>
      </w:r>
    </w:p>
    <w:p>
      <w:pPr>
        <w:pStyle w:val="4"/>
        <w:rPr>
          <w:sz w:val="27"/>
        </w:rPr>
      </w:pPr>
    </w:p>
    <w:p>
      <w:pPr>
        <w:pStyle w:val="2"/>
        <w:spacing w:before="1"/>
      </w:pPr>
      <w:r>
        <w:rPr>
          <w:color w:val="003366"/>
        </w:rPr>
        <w:t>一、组织机构</w:t>
      </w:r>
    </w:p>
    <w:p>
      <w:pPr>
        <w:spacing w:before="114"/>
        <w:ind w:left="158" w:right="0" w:firstLine="0"/>
        <w:jc w:val="left"/>
        <w:rPr>
          <w:sz w:val="21"/>
        </w:rPr>
      </w:pPr>
      <w:r>
        <w:rPr>
          <w:b/>
          <w:sz w:val="24"/>
        </w:rPr>
        <w:t>主办单位：</w:t>
      </w:r>
      <w:r>
        <w:rPr>
          <w:sz w:val="21"/>
        </w:rPr>
        <w:t>中国医学救援协会</w:t>
      </w:r>
    </w:p>
    <w:p>
      <w:pPr>
        <w:tabs>
          <w:tab w:val="left" w:pos="5566"/>
        </w:tabs>
        <w:spacing w:before="67"/>
        <w:ind w:left="158" w:right="0" w:firstLine="0"/>
        <w:jc w:val="left"/>
        <w:rPr>
          <w:sz w:val="21"/>
        </w:rPr>
      </w:pPr>
      <w:r>
        <w:rPr>
          <w:b/>
          <w:sz w:val="24"/>
        </w:rPr>
        <w:t>协办单位：</w:t>
      </w:r>
      <w:r>
        <w:rPr>
          <w:sz w:val="21"/>
        </w:rPr>
        <w:t>中国灾害防御协会</w:t>
      </w:r>
      <w:r>
        <w:rPr>
          <w:sz w:val="21"/>
        </w:rPr>
        <w:tab/>
      </w:r>
      <w:r>
        <w:rPr>
          <w:sz w:val="21"/>
        </w:rPr>
        <w:t>国家</w:t>
      </w:r>
      <w:r>
        <w:rPr>
          <w:spacing w:val="-53"/>
          <w:sz w:val="21"/>
        </w:rPr>
        <w:t xml:space="preserve"> </w:t>
      </w:r>
      <w:r>
        <w:rPr>
          <w:sz w:val="21"/>
        </w:rPr>
        <w:t>SOS</w:t>
      </w:r>
      <w:r>
        <w:rPr>
          <w:spacing w:val="-53"/>
          <w:sz w:val="21"/>
        </w:rPr>
        <w:t xml:space="preserve"> </w:t>
      </w:r>
      <w:r>
        <w:rPr>
          <w:sz w:val="21"/>
        </w:rPr>
        <w:t>总部</w:t>
      </w:r>
    </w:p>
    <w:p>
      <w:pPr>
        <w:pStyle w:val="4"/>
        <w:tabs>
          <w:tab w:val="left" w:pos="5600"/>
        </w:tabs>
        <w:spacing w:before="85"/>
        <w:ind w:left="1401"/>
      </w:pPr>
      <w:r>
        <w:t>中国疾病预防控制中心</w:t>
      </w:r>
      <w:r>
        <w:tab/>
      </w:r>
      <w:r>
        <w:t>天津市卫生健康委员会</w:t>
      </w:r>
    </w:p>
    <w:p>
      <w:pPr>
        <w:pStyle w:val="4"/>
        <w:tabs>
          <w:tab w:val="left" w:pos="5581"/>
        </w:tabs>
        <w:spacing w:before="105"/>
        <w:ind w:left="1401"/>
      </w:pPr>
      <w:r>
        <w:t>武汉亚心总医院</w:t>
      </w:r>
      <w:r>
        <w:tab/>
      </w:r>
      <w:r>
        <w:t>中山大学医学院</w:t>
      </w:r>
    </w:p>
    <w:p>
      <w:pPr>
        <w:pStyle w:val="4"/>
        <w:tabs>
          <w:tab w:val="left" w:pos="5581"/>
        </w:tabs>
        <w:spacing w:before="105"/>
        <w:ind w:left="1401"/>
      </w:pPr>
      <w:r>
        <w:t>上海健康医学院</w:t>
      </w:r>
      <w:r>
        <w:tab/>
      </w:r>
      <w:r>
        <w:t>徐州医科大学救援医学研究所</w:t>
      </w:r>
    </w:p>
    <w:p>
      <w:pPr>
        <w:pStyle w:val="4"/>
        <w:tabs>
          <w:tab w:val="left" w:pos="5601"/>
        </w:tabs>
        <w:spacing w:before="106"/>
        <w:ind w:left="1401"/>
      </w:pPr>
      <w:r>
        <w:t>《中国急救复苏与灾害医学杂志》社</w:t>
      </w:r>
      <w:r>
        <w:tab/>
      </w:r>
      <w:r>
        <w:t>京津冀</w:t>
      </w:r>
      <w:r>
        <w:rPr>
          <w:spacing w:val="-54"/>
        </w:rPr>
        <w:t xml:space="preserve"> </w:t>
      </w:r>
      <w:r>
        <w:t>120、999</w:t>
      </w:r>
      <w:r>
        <w:rPr>
          <w:spacing w:val="-53"/>
        </w:rPr>
        <w:t xml:space="preserve"> </w:t>
      </w:r>
      <w:r>
        <w:t>急救中心</w:t>
      </w:r>
    </w:p>
    <w:p>
      <w:pPr>
        <w:pStyle w:val="4"/>
        <w:tabs>
          <w:tab w:val="left" w:pos="5595"/>
        </w:tabs>
        <w:spacing w:before="87"/>
        <w:ind w:left="158"/>
      </w:pPr>
      <w:r>
        <w:rPr>
          <w:b/>
          <w:sz w:val="24"/>
        </w:rPr>
        <w:t>承办单位：</w:t>
      </w:r>
      <w:r>
        <w:t>众企互联国际文化传媒（北京）有限公司</w:t>
      </w:r>
      <w:r>
        <w:tab/>
      </w:r>
      <w:r>
        <w:t>中国心血管健康联盟</w:t>
      </w:r>
    </w:p>
    <w:p>
      <w:pPr>
        <w:pStyle w:val="4"/>
        <w:rPr>
          <w:sz w:val="24"/>
        </w:rPr>
      </w:pPr>
    </w:p>
    <w:p>
      <w:pPr>
        <w:pStyle w:val="4"/>
        <w:spacing w:before="6"/>
        <w:rPr>
          <w:sz w:val="29"/>
        </w:rPr>
      </w:pPr>
    </w:p>
    <w:p>
      <w:pPr>
        <w:pStyle w:val="2"/>
        <w:spacing w:before="1"/>
      </w:pPr>
      <w:r>
        <w:rPr>
          <w:color w:val="003366"/>
        </w:rPr>
        <w:t>二、展会亮点</w:t>
      </w:r>
    </w:p>
    <w:p>
      <w:pPr>
        <w:pStyle w:val="8"/>
        <w:numPr>
          <w:ilvl w:val="0"/>
          <w:numId w:val="1"/>
        </w:numPr>
        <w:tabs>
          <w:tab w:val="left" w:pos="578"/>
          <w:tab w:val="left" w:pos="579"/>
        </w:tabs>
        <w:spacing w:before="132" w:after="0" w:line="240" w:lineRule="auto"/>
        <w:ind w:left="578" w:right="0" w:hanging="421"/>
        <w:jc w:val="left"/>
        <w:rPr>
          <w:sz w:val="21"/>
        </w:rPr>
      </w:pPr>
      <w:r>
        <w:rPr>
          <w:sz w:val="21"/>
        </w:rPr>
        <w:t>解读最新政策与趋势、发布国际前沿市场需求</w:t>
      </w:r>
    </w:p>
    <w:p>
      <w:pPr>
        <w:pStyle w:val="8"/>
        <w:numPr>
          <w:ilvl w:val="0"/>
          <w:numId w:val="1"/>
        </w:numPr>
        <w:tabs>
          <w:tab w:val="left" w:pos="578"/>
          <w:tab w:val="left" w:pos="579"/>
        </w:tabs>
        <w:spacing w:before="105" w:after="0" w:line="240" w:lineRule="auto"/>
        <w:ind w:left="578" w:right="0" w:hanging="421"/>
        <w:jc w:val="left"/>
        <w:rPr>
          <w:sz w:val="21"/>
        </w:rPr>
      </w:pPr>
      <w:r>
        <w:rPr>
          <w:sz w:val="21"/>
        </w:rPr>
        <w:t>汇聚专业领域优秀人才、创新技术与解决方案</w:t>
      </w:r>
    </w:p>
    <w:p>
      <w:pPr>
        <w:pStyle w:val="8"/>
        <w:numPr>
          <w:ilvl w:val="0"/>
          <w:numId w:val="1"/>
        </w:numPr>
        <w:tabs>
          <w:tab w:val="left" w:pos="578"/>
          <w:tab w:val="left" w:pos="579"/>
        </w:tabs>
        <w:spacing w:before="106" w:after="0" w:line="240" w:lineRule="auto"/>
        <w:ind w:left="578" w:right="0" w:hanging="421"/>
        <w:jc w:val="left"/>
        <w:rPr>
          <w:sz w:val="21"/>
        </w:rPr>
      </w:pPr>
      <w:r>
        <w:rPr>
          <w:sz w:val="21"/>
        </w:rPr>
        <w:t>展示雄厚医疗科研实力，集中释放产业市场需求</w:t>
      </w:r>
    </w:p>
    <w:p>
      <w:pPr>
        <w:pStyle w:val="8"/>
        <w:numPr>
          <w:ilvl w:val="0"/>
          <w:numId w:val="1"/>
        </w:numPr>
        <w:tabs>
          <w:tab w:val="left" w:pos="578"/>
          <w:tab w:val="left" w:pos="579"/>
        </w:tabs>
        <w:spacing w:before="105" w:after="0" w:line="240" w:lineRule="auto"/>
        <w:ind w:left="578" w:right="0" w:hanging="421"/>
        <w:jc w:val="left"/>
        <w:rPr>
          <w:sz w:val="21"/>
        </w:rPr>
      </w:pPr>
      <w:r>
        <w:rPr>
          <w:sz w:val="21"/>
        </w:rPr>
        <w:t>云集权威专家预测发展趋势、展望产业前景</w:t>
      </w:r>
    </w:p>
    <w:p>
      <w:pPr>
        <w:pStyle w:val="8"/>
        <w:numPr>
          <w:ilvl w:val="0"/>
          <w:numId w:val="1"/>
        </w:numPr>
        <w:tabs>
          <w:tab w:val="left" w:pos="578"/>
          <w:tab w:val="left" w:pos="579"/>
        </w:tabs>
        <w:spacing w:before="105" w:after="0" w:line="240" w:lineRule="auto"/>
        <w:ind w:left="578" w:right="0" w:hanging="421"/>
        <w:jc w:val="left"/>
        <w:rPr>
          <w:sz w:val="21"/>
        </w:rPr>
      </w:pPr>
      <w:r>
        <w:rPr>
          <w:sz w:val="21"/>
        </w:rPr>
        <w:t>交流卫生应急体系创新成果、共享产业无限商机</w:t>
      </w:r>
    </w:p>
    <w:p>
      <w:pPr>
        <w:spacing w:after="0" w:line="240" w:lineRule="auto"/>
        <w:jc w:val="left"/>
        <w:rPr>
          <w:sz w:val="21"/>
        </w:rPr>
        <w:sectPr>
          <w:headerReference r:id="rId3" w:type="default"/>
          <w:type w:val="continuous"/>
          <w:pgSz w:w="11910" w:h="16840"/>
          <w:pgMar w:top="1660" w:right="1200" w:bottom="280" w:left="1260" w:header="713" w:footer="720" w:gutter="0"/>
        </w:sectPr>
      </w:pPr>
    </w:p>
    <w:p>
      <w:pPr>
        <w:pStyle w:val="4"/>
        <w:spacing w:before="1"/>
        <w:rPr>
          <w:sz w:val="24"/>
        </w:rPr>
      </w:pPr>
    </w:p>
    <w:p>
      <w:pPr>
        <w:pStyle w:val="2"/>
        <w:spacing w:before="27"/>
      </w:pPr>
      <w:r>
        <w:rPr>
          <w:color w:val="003366"/>
        </w:rPr>
        <w:t>三、展会介绍</w:t>
      </w:r>
    </w:p>
    <w:p>
      <w:pPr>
        <w:pStyle w:val="4"/>
        <w:spacing w:before="163" w:line="388" w:lineRule="auto"/>
        <w:ind w:left="158" w:right="142" w:firstLine="420"/>
      </w:pPr>
      <w:r>
        <w:t>抗击新冠疫情，中国人民众志成城，体现出国家凝聚力和快速反应能力，同时也体现出我国公</w:t>
      </w:r>
      <w:r>
        <w:rPr>
          <w:spacing w:val="-4"/>
        </w:rPr>
        <w:t>共卫生体系和医疗体系、 民众健康意识等一系列不足之处。为此，中央全面深化改革第十二次会议明确提出要健全国家公共卫生应急体系，优化重要应急物资产能保障和区域布局。医疗器械产品作为突发公共卫生事件的重要保障，目前仍存在着区域布局不合理、自主应急保障能力弱、高端医疗设备配置不足等系列问题，在国家推动公共卫生应急管理体系改革的趋势下，各地医疗器械产业发展也面临新的机会和如何打破区域格局的挑战。2020</w:t>
      </w:r>
      <w:r>
        <w:rPr>
          <w:spacing w:val="-8"/>
        </w:rPr>
        <w:t xml:space="preserve"> 中国国际第 </w:t>
      </w:r>
      <w:r>
        <w:t>18</w:t>
      </w:r>
      <w:r>
        <w:rPr>
          <w:spacing w:val="-5"/>
        </w:rPr>
        <w:t xml:space="preserve"> 届现代救援医学论坛暨中国国际卫生应急产业展览会，将于 </w:t>
      </w:r>
      <w:r>
        <w:t>2020</w:t>
      </w:r>
      <w:r>
        <w:rPr>
          <w:spacing w:val="-19"/>
        </w:rPr>
        <w:t xml:space="preserve"> 年 </w:t>
      </w:r>
      <w:r>
        <w:t>11</w:t>
      </w:r>
      <w:r>
        <w:rPr>
          <w:spacing w:val="-36"/>
        </w:rPr>
        <w:t xml:space="preserve"> 月 </w:t>
      </w:r>
      <w:r>
        <w:t>6-8</w:t>
      </w:r>
      <w:r>
        <w:rPr>
          <w:spacing w:val="-8"/>
        </w:rPr>
        <w:t xml:space="preserve"> 日举办。本届展会集中展示</w:t>
      </w:r>
      <w:r>
        <w:rPr>
          <w:b/>
          <w:color w:val="003366"/>
        </w:rPr>
        <w:t>公共卫生防疫、防护、医院急救设备、器材、个人防护产品、应急救护产品、应急救护药品、应急运输产品、救援咨询服务</w:t>
      </w:r>
      <w:r>
        <w:rPr>
          <w:spacing w:val="-1"/>
        </w:rPr>
        <w:t>等相关产品及设备。</w:t>
      </w:r>
      <w:r>
        <w:t>2020</w:t>
      </w:r>
      <w:r>
        <w:rPr>
          <w:spacing w:val="-8"/>
        </w:rPr>
        <w:t xml:space="preserve"> 中国国际卫生应急产业展览会将致力于构建行业新品技术发布、成果展示、品牌推广、贸易合作、学术交流等一体化的综合服务平台，以“会展结合，以会带展，以展促会”的形式，为国际国内紧急医学救援领域的医院、学者、企业创造多形式、高层次、高质量的互动交流机会。促进行业技术发展，提高产品质量和服务，优化产业升级，推动卫生应急产业健康发展作贡献。</w:t>
      </w:r>
    </w:p>
    <w:p>
      <w:pPr>
        <w:pStyle w:val="4"/>
      </w:pPr>
    </w:p>
    <w:p>
      <w:pPr>
        <w:pStyle w:val="2"/>
      </w:pPr>
      <w:r>
        <w:rPr>
          <w:color w:val="003366"/>
        </w:rPr>
        <w:t>四、强势宣传</w:t>
      </w:r>
    </w:p>
    <w:p>
      <w:pPr>
        <w:pStyle w:val="8"/>
        <w:numPr>
          <w:ilvl w:val="0"/>
          <w:numId w:val="2"/>
        </w:numPr>
        <w:tabs>
          <w:tab w:val="left" w:pos="578"/>
          <w:tab w:val="left" w:pos="579"/>
        </w:tabs>
        <w:spacing w:before="163" w:after="0" w:line="388" w:lineRule="auto"/>
        <w:ind w:left="578" w:right="216" w:hanging="420"/>
        <w:jc w:val="left"/>
        <w:rPr>
          <w:sz w:val="21"/>
        </w:rPr>
      </w:pPr>
      <w:r>
        <w:rPr>
          <w:spacing w:val="4"/>
          <w:sz w:val="21"/>
        </w:rPr>
        <w:t>充分利用专业展览公司多年来积累的医疗卫生领域观众数据库，有针对性地向目标专业观众</w:t>
      </w:r>
      <w:r>
        <w:rPr>
          <w:spacing w:val="3"/>
          <w:sz w:val="21"/>
        </w:rPr>
        <w:t>和行业用户定期发布最新展会及展商信息，邀请专业观众前来参观。</w:t>
      </w:r>
    </w:p>
    <w:p>
      <w:pPr>
        <w:pStyle w:val="8"/>
        <w:numPr>
          <w:ilvl w:val="0"/>
          <w:numId w:val="2"/>
        </w:numPr>
        <w:tabs>
          <w:tab w:val="left" w:pos="578"/>
          <w:tab w:val="left" w:pos="579"/>
        </w:tabs>
        <w:spacing w:before="2" w:after="0" w:line="388" w:lineRule="auto"/>
        <w:ind w:left="578" w:right="224" w:hanging="420"/>
        <w:jc w:val="left"/>
        <w:rPr>
          <w:sz w:val="21"/>
        </w:rPr>
      </w:pPr>
      <w:r>
        <w:rPr>
          <w:spacing w:val="-12"/>
          <w:sz w:val="21"/>
        </w:rPr>
        <w:t xml:space="preserve">推出 </w:t>
      </w:r>
      <w:r>
        <w:rPr>
          <w:spacing w:val="2"/>
          <w:sz w:val="21"/>
        </w:rPr>
        <w:t>VIP</w:t>
      </w:r>
      <w:r>
        <w:rPr>
          <w:spacing w:val="-6"/>
          <w:sz w:val="21"/>
        </w:rPr>
        <w:t xml:space="preserve"> 观众邀请计划，点对点邀请核心采购商，组织强大的专业采购团队，并提供 </w:t>
      </w:r>
      <w:r>
        <w:rPr>
          <w:spacing w:val="2"/>
          <w:sz w:val="21"/>
        </w:rPr>
        <w:t>VIP</w:t>
      </w:r>
      <w:r>
        <w:rPr>
          <w:spacing w:val="-23"/>
          <w:sz w:val="21"/>
        </w:rPr>
        <w:t xml:space="preserve"> 对</w:t>
      </w:r>
      <w:r>
        <w:rPr>
          <w:spacing w:val="6"/>
          <w:sz w:val="21"/>
        </w:rPr>
        <w:t>接服务。</w:t>
      </w:r>
    </w:p>
    <w:p>
      <w:pPr>
        <w:pStyle w:val="8"/>
        <w:numPr>
          <w:ilvl w:val="0"/>
          <w:numId w:val="2"/>
        </w:numPr>
        <w:tabs>
          <w:tab w:val="left" w:pos="578"/>
          <w:tab w:val="left" w:pos="579"/>
        </w:tabs>
        <w:spacing w:before="2" w:after="0" w:line="388" w:lineRule="auto"/>
        <w:ind w:left="578" w:right="115" w:hanging="420"/>
        <w:jc w:val="left"/>
        <w:rPr>
          <w:sz w:val="21"/>
        </w:rPr>
      </w:pPr>
      <w:r>
        <w:rPr>
          <w:spacing w:val="-5"/>
          <w:sz w:val="21"/>
        </w:rPr>
        <w:t xml:space="preserve">与重点媒体达成战略合作，除大量的广告宣传之外，加强利用合作媒体的高质量行业数据库， </w:t>
      </w:r>
      <w:r>
        <w:rPr>
          <w:spacing w:val="1"/>
          <w:sz w:val="21"/>
        </w:rPr>
        <w:t>进行买家和行业用户定期直邮服务；与政府相关部门、行业学会、协会、商会等行业组织联</w:t>
      </w:r>
      <w:r>
        <w:rPr>
          <w:spacing w:val="6"/>
          <w:sz w:val="21"/>
        </w:rPr>
        <w:t>手合作，通过行业组织发函通知会员单位组团参观展会。</w:t>
      </w:r>
    </w:p>
    <w:p>
      <w:pPr>
        <w:pStyle w:val="8"/>
        <w:numPr>
          <w:ilvl w:val="0"/>
          <w:numId w:val="2"/>
        </w:numPr>
        <w:tabs>
          <w:tab w:val="left" w:pos="578"/>
          <w:tab w:val="left" w:pos="579"/>
        </w:tabs>
        <w:spacing w:before="3" w:after="0" w:line="388" w:lineRule="auto"/>
        <w:ind w:left="578" w:right="216" w:hanging="420"/>
        <w:jc w:val="left"/>
        <w:rPr>
          <w:sz w:val="21"/>
        </w:rPr>
      </w:pPr>
      <w:r>
        <w:rPr>
          <w:spacing w:val="2"/>
          <w:sz w:val="21"/>
        </w:rPr>
        <w:t>参展商报名参展，客服人员会进行一对一电话跟踪服务，为参展商量身定制方案，邀请专业观众。</w:t>
      </w:r>
    </w:p>
    <w:p>
      <w:pPr>
        <w:pStyle w:val="8"/>
        <w:numPr>
          <w:ilvl w:val="0"/>
          <w:numId w:val="2"/>
        </w:numPr>
        <w:tabs>
          <w:tab w:val="left" w:pos="578"/>
          <w:tab w:val="left" w:pos="579"/>
        </w:tabs>
        <w:spacing w:before="2" w:after="0" w:line="388" w:lineRule="auto"/>
        <w:ind w:left="578" w:right="115" w:hanging="420"/>
        <w:jc w:val="left"/>
        <w:rPr>
          <w:sz w:val="21"/>
        </w:rPr>
      </w:pPr>
      <w:r>
        <w:rPr>
          <w:spacing w:val="1"/>
          <w:sz w:val="21"/>
        </w:rPr>
        <w:t>充分发挥参展商的影响，让已参展的展商邀请其直接用户和潜在客户参观其展台，进行新老</w:t>
      </w:r>
      <w:r>
        <w:rPr>
          <w:spacing w:val="-5"/>
          <w:sz w:val="21"/>
        </w:rPr>
        <w:t>客户关系维护；与同期行业论坛和技术研讨会互动，为展商和观众提供一个相互沟通、合作、</w:t>
      </w:r>
      <w:r>
        <w:rPr>
          <w:spacing w:val="5"/>
          <w:sz w:val="21"/>
        </w:rPr>
        <w:t>学习的平台。</w:t>
      </w:r>
    </w:p>
    <w:p>
      <w:pPr>
        <w:pStyle w:val="8"/>
        <w:numPr>
          <w:ilvl w:val="0"/>
          <w:numId w:val="2"/>
        </w:numPr>
        <w:tabs>
          <w:tab w:val="left" w:pos="578"/>
          <w:tab w:val="left" w:pos="579"/>
        </w:tabs>
        <w:spacing w:before="2" w:after="0" w:line="388" w:lineRule="auto"/>
        <w:ind w:left="578" w:right="146" w:hanging="420"/>
        <w:jc w:val="left"/>
        <w:rPr>
          <w:sz w:val="21"/>
        </w:rPr>
      </w:pPr>
      <w:r>
        <w:rPr>
          <w:spacing w:val="7"/>
          <w:sz w:val="21"/>
        </w:rPr>
        <w:t>在新浪、搜狐、百度、腾讯、财经、今日头条等高端媒体进行高频宣传；利用抖音、快手、</w:t>
      </w:r>
      <w:r>
        <w:rPr>
          <w:spacing w:val="6"/>
          <w:sz w:val="21"/>
        </w:rPr>
        <w:t>微信等平台进行大流量推送。</w:t>
      </w:r>
    </w:p>
    <w:p>
      <w:pPr>
        <w:spacing w:after="0" w:line="388" w:lineRule="auto"/>
        <w:jc w:val="left"/>
        <w:rPr>
          <w:sz w:val="21"/>
        </w:rPr>
        <w:sectPr>
          <w:pgSz w:w="11910" w:h="16840"/>
          <w:pgMar w:top="1660" w:right="1200" w:bottom="280" w:left="1260" w:header="713" w:footer="0" w:gutter="0"/>
        </w:sectPr>
      </w:pPr>
    </w:p>
    <w:p>
      <w:pPr>
        <w:pStyle w:val="4"/>
        <w:spacing w:before="3"/>
        <w:rPr>
          <w:sz w:val="19"/>
        </w:rPr>
      </w:pPr>
    </w:p>
    <w:p>
      <w:pPr>
        <w:pStyle w:val="2"/>
        <w:spacing w:before="27"/>
      </w:pPr>
      <w:r>
        <w:rPr>
          <w:color w:val="003366"/>
        </w:rPr>
        <w:t>五、展示内容</w:t>
      </w:r>
    </w:p>
    <w:p>
      <w:pPr>
        <w:pStyle w:val="3"/>
        <w:spacing w:before="144"/>
        <w:ind w:left="158"/>
      </w:pPr>
      <w:r>
        <w:rPr>
          <w:color w:val="003366"/>
        </w:rPr>
        <w:t>公共卫生事件应急防护类、预防类和治疗类产品等国家重点战略企业；</w:t>
      </w:r>
    </w:p>
    <w:p>
      <w:pPr>
        <w:pStyle w:val="4"/>
        <w:spacing w:before="22" w:line="297" w:lineRule="auto"/>
        <w:ind w:left="158" w:right="168"/>
      </w:pPr>
      <w:r>
        <w:rPr>
          <w:rFonts w:hint="eastAsia" w:ascii="Arial Unicode MS" w:eastAsia="Arial Unicode MS"/>
          <w:sz w:val="24"/>
        </w:rPr>
        <w:t>卫生防护物品：</w:t>
      </w:r>
      <w:r>
        <w:t>医用口罩、医用帽、医用酒精、防护服、防护面罩、防护眼镜、84 消毒液、免洗手消毒液、核酸检测试剂、测温计(仪)；</w:t>
      </w:r>
    </w:p>
    <w:p>
      <w:pPr>
        <w:pStyle w:val="4"/>
        <w:spacing w:before="29" w:line="297" w:lineRule="auto"/>
        <w:ind w:left="158" w:right="224"/>
      </w:pPr>
      <w:r>
        <w:rPr>
          <w:rFonts w:hint="eastAsia" w:ascii="Arial Unicode MS" w:eastAsia="Arial Unicode MS"/>
          <w:sz w:val="24"/>
        </w:rPr>
        <w:t>急救设备、器材：</w:t>
      </w:r>
      <w:r>
        <w:t>呼吸机、监护仪、除颤仪、氧气瓶、负压吸引器、全自动洗胃机、气管插管及气管切开包、简易呼吸器、心脏按压泵、负压骨折固定装置、微量注射泵、定量输液泵、监</w:t>
      </w:r>
    </w:p>
    <w:p>
      <w:pPr>
        <w:pStyle w:val="4"/>
        <w:spacing w:before="105"/>
        <w:ind w:left="158"/>
      </w:pPr>
      <w:r>
        <w:t>护系统、体外膜式肺氧合(ECMO)装置等；</w:t>
      </w:r>
    </w:p>
    <w:p>
      <w:pPr>
        <w:pStyle w:val="4"/>
        <w:spacing w:before="94" w:line="297" w:lineRule="auto"/>
        <w:ind w:left="158" w:right="223"/>
      </w:pPr>
      <w:r>
        <w:rPr>
          <w:rFonts w:hint="eastAsia" w:ascii="Arial Unicode MS" w:eastAsia="Arial Unicode MS"/>
          <w:sz w:val="24"/>
        </w:rPr>
        <w:t>移动医院设备：</w:t>
      </w:r>
      <w:r>
        <w:t>折叠式帐篷、临时病床、移动手术台、消毒设备、制氧供氧设备、发电机、移动医院家具、及其他移动医院设备；</w:t>
      </w:r>
    </w:p>
    <w:p>
      <w:pPr>
        <w:pStyle w:val="4"/>
        <w:spacing w:before="28" w:line="252" w:lineRule="auto"/>
        <w:ind w:left="158" w:right="2357"/>
        <w:jc w:val="both"/>
      </w:pPr>
      <w:r>
        <w:rPr>
          <w:rFonts w:hint="eastAsia" w:ascii="Arial Unicode MS" w:eastAsia="Arial Unicode MS"/>
          <w:sz w:val="24"/>
        </w:rPr>
        <w:t>急救设备：</w:t>
      </w:r>
      <w:r>
        <w:t xml:space="preserve">各式急救箱和急救包、担架、搬运气床、骨折固定装置等； </w:t>
      </w:r>
      <w:r>
        <w:rPr>
          <w:rFonts w:hint="eastAsia" w:ascii="Arial Unicode MS" w:eastAsia="Arial Unicode MS"/>
          <w:sz w:val="24"/>
        </w:rPr>
        <w:t>急诊科设备：</w:t>
      </w:r>
      <w:r>
        <w:t xml:space="preserve">抢救类设备、生命信息检测及支持类设备、治疗设备等； </w:t>
      </w:r>
      <w:r>
        <w:rPr>
          <w:rFonts w:hint="eastAsia" w:ascii="Arial Unicode MS" w:eastAsia="Arial Unicode MS"/>
          <w:sz w:val="24"/>
        </w:rPr>
        <w:t>应急药品：</w:t>
      </w:r>
      <w:r>
        <w:t xml:space="preserve">消毒、麻醉、止血、抗感染等应急药品及现场处置耗材等； </w:t>
      </w:r>
      <w:r>
        <w:rPr>
          <w:rFonts w:hint="eastAsia" w:ascii="Arial Unicode MS" w:eastAsia="Arial Unicode MS"/>
          <w:sz w:val="24"/>
        </w:rPr>
        <w:t>急救运输工具：</w:t>
      </w:r>
      <w:r>
        <w:t>救护车、救生艇、救生筏、无人机、救援直升机等；</w:t>
      </w:r>
    </w:p>
    <w:p>
      <w:pPr>
        <w:pStyle w:val="4"/>
        <w:spacing w:before="6" w:line="252" w:lineRule="auto"/>
        <w:ind w:left="158" w:right="1673"/>
        <w:jc w:val="both"/>
      </w:pPr>
      <w:r>
        <w:rPr>
          <w:rFonts w:hint="eastAsia" w:ascii="Arial Unicode MS" w:eastAsia="Arial Unicode MS"/>
          <w:sz w:val="24"/>
        </w:rPr>
        <w:t>救援咨询服务：</w:t>
      </w:r>
      <w:r>
        <w:t xml:space="preserve">社会救援服务、保险服务、咨询培训服务、应急物流服务等； </w:t>
      </w:r>
      <w:r>
        <w:rPr>
          <w:rFonts w:hint="eastAsia" w:ascii="Arial Unicode MS" w:eastAsia="Arial Unicode MS"/>
          <w:sz w:val="24"/>
        </w:rPr>
        <w:t>应急智慧：</w:t>
      </w:r>
      <w:r>
        <w:t>人工智能、医疗大数据、机器人、远程医疗、互联网医疗等。</w:t>
      </w:r>
    </w:p>
    <w:p>
      <w:pPr>
        <w:pStyle w:val="2"/>
        <w:spacing w:before="279"/>
      </w:pPr>
      <w:r>
        <w:rPr>
          <w:color w:val="003366"/>
        </w:rPr>
        <w:t>六、观众来源</w:t>
      </w:r>
    </w:p>
    <w:p>
      <w:pPr>
        <w:pStyle w:val="8"/>
        <w:numPr>
          <w:ilvl w:val="0"/>
          <w:numId w:val="2"/>
        </w:numPr>
        <w:tabs>
          <w:tab w:val="left" w:pos="579"/>
        </w:tabs>
        <w:spacing w:before="206" w:after="0" w:line="374" w:lineRule="auto"/>
        <w:ind w:left="578" w:right="215" w:hanging="420"/>
        <w:jc w:val="both"/>
        <w:rPr>
          <w:sz w:val="21"/>
        </w:rPr>
      </w:pPr>
      <w:r>
        <w:rPr>
          <w:sz w:val="21"/>
        </w:rPr>
        <w:t>国内外各省市大型医院急救科室及中心、体检中心、卫生中心、防疫站、血站、药检所、疾控中心、以及各医学院校、医学科研机构的管理和设备采购人员。</w:t>
      </w:r>
    </w:p>
    <w:p>
      <w:pPr>
        <w:pStyle w:val="8"/>
        <w:numPr>
          <w:ilvl w:val="0"/>
          <w:numId w:val="2"/>
        </w:numPr>
        <w:tabs>
          <w:tab w:val="left" w:pos="579"/>
        </w:tabs>
        <w:spacing w:before="1" w:after="0" w:line="374" w:lineRule="auto"/>
        <w:ind w:left="578" w:right="215" w:hanging="420"/>
        <w:jc w:val="both"/>
        <w:rPr>
          <w:sz w:val="21"/>
        </w:rPr>
      </w:pPr>
      <w:r>
        <w:rPr>
          <w:sz w:val="21"/>
        </w:rPr>
        <w:t>国内外的公共场所，如酒店，宾馆，机场，车站，码头及大型公共娱乐场所等；物业公司、保洁公司、各大企业单位及党政机关。</w:t>
      </w:r>
    </w:p>
    <w:p>
      <w:pPr>
        <w:pStyle w:val="8"/>
        <w:numPr>
          <w:ilvl w:val="0"/>
          <w:numId w:val="2"/>
        </w:numPr>
        <w:tabs>
          <w:tab w:val="left" w:pos="579"/>
        </w:tabs>
        <w:spacing w:before="0" w:after="0" w:line="374" w:lineRule="auto"/>
        <w:ind w:left="578" w:right="215" w:hanging="420"/>
        <w:jc w:val="both"/>
        <w:rPr>
          <w:sz w:val="21"/>
        </w:rPr>
      </w:pPr>
      <w:r>
        <w:rPr>
          <w:sz w:val="21"/>
        </w:rPr>
        <w:t>应急救援设备及工具制造商、各地区医院装备及医疗器械产品代理商、急救器具分销商、应急医学实验室、应急药品制造商、科研院所及商业实验室、生物产业投资人、应急医学的教学、科研人员、风险投资基金、生命科学解决方案供应商、专业法务机构、行业协会、国内外媒体及其它领域及受众对象单位观展。</w:t>
      </w:r>
    </w:p>
    <w:p>
      <w:pPr>
        <w:pStyle w:val="4"/>
        <w:rPr>
          <w:sz w:val="20"/>
        </w:rPr>
      </w:pPr>
    </w:p>
    <w:p>
      <w:pPr>
        <w:pStyle w:val="4"/>
        <w:spacing w:before="2"/>
      </w:pPr>
    </w:p>
    <w:p>
      <w:pPr>
        <w:pStyle w:val="2"/>
      </w:pPr>
      <w:r>
        <w:rPr>
          <w:color w:val="003366"/>
        </w:rPr>
        <w:t>七、观众数据</w:t>
      </w:r>
    </w:p>
    <w:p>
      <w:pPr>
        <w:pStyle w:val="8"/>
        <w:numPr>
          <w:ilvl w:val="0"/>
          <w:numId w:val="3"/>
        </w:numPr>
        <w:tabs>
          <w:tab w:val="left" w:pos="579"/>
        </w:tabs>
        <w:spacing w:before="164" w:after="0" w:line="388" w:lineRule="auto"/>
        <w:ind w:left="578" w:right="221" w:hanging="420"/>
        <w:jc w:val="both"/>
        <w:rPr>
          <w:sz w:val="21"/>
        </w:rPr>
      </w:pPr>
      <w:r>
        <w:rPr>
          <w:spacing w:val="-4"/>
          <w:sz w:val="21"/>
        </w:rPr>
        <w:t xml:space="preserve">医疗机构及相关：拟邀请京津冀地区医疗机构 </w:t>
      </w:r>
      <w:r>
        <w:rPr>
          <w:sz w:val="21"/>
        </w:rPr>
        <w:t>7000</w:t>
      </w:r>
      <w:r>
        <w:rPr>
          <w:spacing w:val="-7"/>
          <w:sz w:val="21"/>
        </w:rPr>
        <w:t xml:space="preserve">+，其中公立医院 </w:t>
      </w:r>
      <w:r>
        <w:rPr>
          <w:sz w:val="21"/>
        </w:rPr>
        <w:t>500</w:t>
      </w:r>
      <w:r>
        <w:rPr>
          <w:spacing w:val="-9"/>
          <w:sz w:val="21"/>
        </w:rPr>
        <w:t xml:space="preserve">+，民营医院 </w:t>
      </w:r>
      <w:r>
        <w:rPr>
          <w:sz w:val="21"/>
        </w:rPr>
        <w:t>900</w:t>
      </w:r>
      <w:r>
        <w:rPr>
          <w:spacing w:val="-2"/>
          <w:sz w:val="21"/>
        </w:rPr>
        <w:t>+；医</w:t>
      </w:r>
      <w:r>
        <w:rPr>
          <w:spacing w:val="-3"/>
          <w:sz w:val="21"/>
        </w:rPr>
        <w:t xml:space="preserve">疗诊所、中医馆、社区医院及卫生服务中心、药店 </w:t>
      </w:r>
      <w:r>
        <w:rPr>
          <w:sz w:val="21"/>
        </w:rPr>
        <w:t>6000+，（拟重点邀请京津冀及北方地区基</w:t>
      </w:r>
    </w:p>
    <w:p>
      <w:pPr>
        <w:spacing w:after="0" w:line="388" w:lineRule="auto"/>
        <w:jc w:val="both"/>
        <w:rPr>
          <w:sz w:val="21"/>
        </w:rPr>
        <w:sectPr>
          <w:pgSz w:w="11910" w:h="16840"/>
          <w:pgMar w:top="1660" w:right="1200" w:bottom="280" w:left="1260" w:header="713" w:footer="0" w:gutter="0"/>
        </w:sectPr>
      </w:pPr>
    </w:p>
    <w:p>
      <w:pPr>
        <w:pStyle w:val="4"/>
        <w:rPr>
          <w:sz w:val="20"/>
        </w:rPr>
      </w:pPr>
    </w:p>
    <w:p>
      <w:pPr>
        <w:pStyle w:val="4"/>
        <w:spacing w:before="4"/>
        <w:rPr>
          <w:sz w:val="15"/>
        </w:rPr>
      </w:pPr>
    </w:p>
    <w:p>
      <w:pPr>
        <w:pStyle w:val="4"/>
        <w:ind w:left="578"/>
      </w:pPr>
      <w:r>
        <w:t>层医疗机构 4000+）</w:t>
      </w:r>
    </w:p>
    <w:p>
      <w:pPr>
        <w:pStyle w:val="8"/>
        <w:numPr>
          <w:ilvl w:val="0"/>
          <w:numId w:val="3"/>
        </w:numPr>
        <w:tabs>
          <w:tab w:val="left" w:pos="578"/>
          <w:tab w:val="left" w:pos="579"/>
        </w:tabs>
        <w:spacing w:before="168" w:after="0" w:line="240" w:lineRule="auto"/>
        <w:ind w:left="578" w:right="0" w:hanging="421"/>
        <w:jc w:val="left"/>
        <w:rPr>
          <w:sz w:val="21"/>
        </w:rPr>
      </w:pPr>
      <w:r>
        <w:rPr>
          <w:sz w:val="21"/>
        </w:rPr>
        <w:t>津冀区域经销代理商：3000+，（</w:t>
      </w:r>
      <w:r>
        <w:rPr>
          <w:spacing w:val="-27"/>
          <w:sz w:val="21"/>
        </w:rPr>
        <w:t xml:space="preserve">从 </w:t>
      </w:r>
      <w:r>
        <w:rPr>
          <w:sz w:val="21"/>
        </w:rPr>
        <w:t>CMEF</w:t>
      </w:r>
      <w:r>
        <w:rPr>
          <w:spacing w:val="-2"/>
          <w:sz w:val="21"/>
        </w:rPr>
        <w:t xml:space="preserve"> </w:t>
      </w:r>
      <w:r>
        <w:rPr>
          <w:sz w:val="21"/>
        </w:rPr>
        <w:t>50000</w:t>
      </w:r>
      <w:r>
        <w:rPr>
          <w:spacing w:val="-5"/>
          <w:sz w:val="21"/>
        </w:rPr>
        <w:t xml:space="preserve">+经销商数据库中定向邀请 </w:t>
      </w:r>
      <w:r>
        <w:rPr>
          <w:sz w:val="21"/>
        </w:rPr>
        <w:t>3000+经销商）</w:t>
      </w:r>
    </w:p>
    <w:p>
      <w:pPr>
        <w:pStyle w:val="8"/>
        <w:numPr>
          <w:ilvl w:val="0"/>
          <w:numId w:val="3"/>
        </w:numPr>
        <w:tabs>
          <w:tab w:val="left" w:pos="578"/>
          <w:tab w:val="left" w:pos="579"/>
        </w:tabs>
        <w:spacing w:before="167" w:after="0" w:line="240" w:lineRule="auto"/>
        <w:ind w:left="578" w:right="0" w:hanging="421"/>
        <w:jc w:val="left"/>
        <w:rPr>
          <w:sz w:val="21"/>
        </w:rPr>
      </w:pPr>
      <w:r>
        <w:rPr>
          <w:sz w:val="21"/>
        </w:rPr>
        <w:t>定向邀请各省疾病预防控制中心、120、999</w:t>
      </w:r>
      <w:r>
        <w:rPr>
          <w:spacing w:val="-11"/>
          <w:sz w:val="21"/>
        </w:rPr>
        <w:t xml:space="preserve"> 等急救中心及应急医学救援采购联盟 </w:t>
      </w:r>
      <w:r>
        <w:rPr>
          <w:sz w:val="21"/>
        </w:rPr>
        <w:t>100+</w:t>
      </w:r>
    </w:p>
    <w:p>
      <w:pPr>
        <w:pStyle w:val="4"/>
        <w:rPr>
          <w:sz w:val="20"/>
        </w:rPr>
      </w:pPr>
    </w:p>
    <w:p>
      <w:pPr>
        <w:pStyle w:val="2"/>
        <w:spacing w:before="169"/>
        <w:jc w:val="both"/>
      </w:pPr>
      <w:r>
        <w:rPr>
          <w:color w:val="003366"/>
        </w:rPr>
        <w:t>八、论坛介绍</w:t>
      </w:r>
    </w:p>
    <w:p>
      <w:pPr>
        <w:pStyle w:val="4"/>
        <w:spacing w:before="81" w:line="420" w:lineRule="exact"/>
        <w:ind w:left="158" w:right="211"/>
        <w:jc w:val="both"/>
      </w:pPr>
      <w:r>
        <w:rPr>
          <w:rFonts w:hint="eastAsia" w:ascii="Arial Unicode MS" w:hAnsi="Arial Unicode MS" w:eastAsia="Arial Unicode MS"/>
        </w:rPr>
        <w:t>论坛背景：</w:t>
      </w:r>
      <w:r>
        <w:t>“中国</w:t>
      </w:r>
      <w:r>
        <w:rPr>
          <w:rFonts w:hint="eastAsia" w:ascii="宋体" w:hAnsi="宋体" w:eastAsia="宋体"/>
          <w:sz w:val="24"/>
        </w:rPr>
        <w:t>·</w:t>
      </w:r>
      <w:r>
        <w:t>国际现代救援医学论坛”是立足中国国情，结合国际急救医学进展及重大灾疫</w:t>
      </w:r>
      <w:r>
        <w:rPr>
          <w:spacing w:val="-5"/>
        </w:rPr>
        <w:t xml:space="preserve">情医学救援态势的国际性学术平台。论坛创立于 </w:t>
      </w:r>
      <w:r>
        <w:t>2003</w:t>
      </w:r>
      <w:r>
        <w:rPr>
          <w:spacing w:val="-34"/>
        </w:rPr>
        <w:t xml:space="preserve"> 年</w:t>
      </w:r>
      <w:r>
        <w:rPr>
          <w:spacing w:val="-4"/>
        </w:rPr>
        <w:t>“SARS</w:t>
      </w:r>
      <w:r>
        <w:rPr>
          <w:spacing w:val="-5"/>
        </w:rPr>
        <w:t>”后，得到国务院及卫生部领导的大力支持和指导帮助，现已连续成功举办了十七届（2003-2019</w:t>
      </w:r>
      <w:r>
        <w:rPr>
          <w:spacing w:val="10"/>
        </w:rPr>
        <w:t xml:space="preserve"> 年</w:t>
      </w:r>
      <w:r>
        <w:t>）。论坛以视野全球、主题鲜明、学术权威、前瞻务实为特征，规格高、规模大、内容新，是享誉国内外具中国特色，链接全球的高层医学救援的行业、学术大会。</w:t>
      </w:r>
    </w:p>
    <w:p>
      <w:pPr>
        <w:pStyle w:val="4"/>
        <w:spacing w:before="126" w:line="374" w:lineRule="auto"/>
        <w:ind w:left="158" w:right="211" w:firstLine="420"/>
        <w:jc w:val="both"/>
      </w:pPr>
      <w:r>
        <w:t>为贯彻落实习近平总书记关于充分发挥我国应急管理体系特色和优势，积极推进我国应急管理体系和能力现代化，要加强航空应急救援能力建设的系列重要讲话精神，根据《中国民用航空局、国家卫生健康委员会关于印发（航空医疗救护联合试点工作实施方案）的通知》（民航发［2019］ 17</w:t>
      </w:r>
      <w:r>
        <w:rPr>
          <w:spacing w:val="-19"/>
        </w:rPr>
        <w:t xml:space="preserve"> 号</w:t>
      </w:r>
      <w:r>
        <w:t>）、国家卫生健康委员会《突发事件紧急医学救援“十三五”规划(2016-2020</w:t>
      </w:r>
      <w:r>
        <w:rPr>
          <w:spacing w:val="-6"/>
        </w:rPr>
        <w:t xml:space="preserve"> 年)等文件的工作要求，交流国内外医学救援领域里的新成就、新进展。本届论坛尤其着重于对新冠肺炎疫情防控救治等进行科学总结；以及对《健康中国》重要内容的心肺复苏、心血管急救（CPR＆ECC）国内外最新进展介绍与讨论。</w:t>
      </w:r>
    </w:p>
    <w:p>
      <w:pPr>
        <w:pStyle w:val="4"/>
        <w:spacing w:before="2" w:line="374" w:lineRule="auto"/>
        <w:ind w:left="158" w:right="211" w:firstLine="420"/>
        <w:jc w:val="both"/>
      </w:pPr>
      <w:r>
        <w:t>届时，拟邀请国务院应急管理专家组组长闪淳昌、中国工程院院士范维澄、郑静晨，中国科学院院士葛均波，中国疾病预防控制中心副主任冯子健、流行病学首席科学家曾光，心肺复苏心血管急救李宗浩、霍勇教授等专家莅会并发表演讲。同时，根据疫情防控情况，适时邀请世界卫生组织</w:t>
      </w:r>
    </w:p>
    <w:p>
      <w:pPr>
        <w:pStyle w:val="4"/>
        <w:spacing w:before="1" w:line="374" w:lineRule="auto"/>
        <w:ind w:left="158" w:right="217"/>
        <w:jc w:val="both"/>
      </w:pPr>
      <w:r>
        <w:rPr>
          <w:spacing w:val="-1"/>
        </w:rPr>
        <w:t>（WHO）</w:t>
      </w:r>
      <w:r>
        <w:rPr>
          <w:spacing w:val="-5"/>
        </w:rPr>
        <w:t>、世界灾害与急救医学会</w:t>
      </w:r>
      <w:r>
        <w:rPr>
          <w:spacing w:val="-1"/>
        </w:rPr>
        <w:t>（WADEM）</w:t>
      </w:r>
      <w:r>
        <w:rPr>
          <w:spacing w:val="-4"/>
        </w:rPr>
        <w:t>、全球复苏联盟</w:t>
      </w:r>
      <w:r>
        <w:t>（GRA）</w:t>
      </w:r>
      <w:r>
        <w:rPr>
          <w:spacing w:val="-4"/>
        </w:rPr>
        <w:t>、美国华盛顿大学医学院、西雅</w:t>
      </w:r>
      <w:r>
        <w:rPr>
          <w:spacing w:val="-30"/>
        </w:rPr>
        <w:t xml:space="preserve">图 </w:t>
      </w:r>
      <w:r>
        <w:t>EMS</w:t>
      </w:r>
      <w:r>
        <w:rPr>
          <w:spacing w:val="-11"/>
        </w:rPr>
        <w:t xml:space="preserve">、新加坡 </w:t>
      </w:r>
      <w:r>
        <w:t>EMS</w:t>
      </w:r>
      <w:r>
        <w:rPr>
          <w:spacing w:val="-14"/>
        </w:rPr>
        <w:t xml:space="preserve">、国际 </w:t>
      </w:r>
      <w:r>
        <w:t>SOS</w:t>
      </w:r>
      <w:r>
        <w:rPr>
          <w:spacing w:val="-8"/>
        </w:rPr>
        <w:t xml:space="preserve"> 总部、欧洲复苏协会</w:t>
      </w:r>
      <w:r>
        <w:t>（ERC）、挪度总部的代表出席论坛。</w:t>
      </w:r>
    </w:p>
    <w:p>
      <w:pPr>
        <w:pStyle w:val="4"/>
        <w:rPr>
          <w:sz w:val="20"/>
        </w:rPr>
      </w:pPr>
    </w:p>
    <w:p>
      <w:pPr>
        <w:pStyle w:val="4"/>
        <w:spacing w:before="6"/>
        <w:rPr>
          <w:sz w:val="15"/>
        </w:rPr>
      </w:pPr>
    </w:p>
    <w:p>
      <w:pPr>
        <w:pStyle w:val="4"/>
        <w:spacing w:before="8"/>
        <w:rPr>
          <w:b/>
          <w:sz w:val="24"/>
        </w:rPr>
      </w:pPr>
      <w:bookmarkStart w:id="0" w:name="_GoBack"/>
      <w:bookmarkEnd w:id="0"/>
    </w:p>
    <w:p>
      <w:pPr>
        <w:pStyle w:val="3"/>
        <w:tabs>
          <w:tab w:val="left" w:pos="9263"/>
        </w:tabs>
      </w:pPr>
      <w:r>
        <w:rPr>
          <w:spacing w:val="-22"/>
          <w:w w:val="89"/>
          <w:u w:val="single" w:color="003366"/>
        </w:rPr>
        <w:t xml:space="preserve"> </w:t>
      </w:r>
      <w:r>
        <w:rPr>
          <w:spacing w:val="40"/>
          <w:u w:val="single" w:color="003366"/>
        </w:rPr>
        <w:t>展览</w:t>
      </w:r>
      <w:r>
        <w:rPr>
          <w:spacing w:val="18"/>
          <w:u w:val="single" w:color="003366"/>
        </w:rPr>
        <w:t>/</w:t>
      </w:r>
      <w:r>
        <w:rPr>
          <w:spacing w:val="39"/>
          <w:u w:val="single" w:color="003366"/>
        </w:rPr>
        <w:t>论</w:t>
      </w:r>
      <w:r>
        <w:rPr>
          <w:spacing w:val="40"/>
          <w:u w:val="single" w:color="003366"/>
        </w:rPr>
        <w:t>坛</w:t>
      </w:r>
      <w:r>
        <w:rPr>
          <w:spacing w:val="39"/>
          <w:u w:val="single" w:color="003366"/>
        </w:rPr>
        <w:t>相关事</w:t>
      </w:r>
      <w:r>
        <w:rPr>
          <w:spacing w:val="40"/>
          <w:u w:val="single" w:color="003366"/>
        </w:rPr>
        <w:t>宜</w:t>
      </w:r>
      <w:r>
        <w:rPr>
          <w:spacing w:val="39"/>
          <w:u w:val="single" w:color="003366"/>
        </w:rPr>
        <w:t>请联系</w:t>
      </w:r>
      <w:r>
        <w:rPr>
          <w:spacing w:val="40"/>
          <w:u w:val="single" w:color="003366"/>
        </w:rPr>
        <w:t>组</w:t>
      </w:r>
      <w:r>
        <w:rPr>
          <w:spacing w:val="39"/>
          <w:u w:val="single" w:color="003366"/>
        </w:rPr>
        <w:t>委</w:t>
      </w:r>
      <w:r>
        <w:rPr>
          <w:u w:val="single" w:color="003366"/>
        </w:rPr>
        <w:t>会</w:t>
      </w:r>
      <w:r>
        <w:rPr>
          <w:u w:val="single" w:color="003366"/>
        </w:rPr>
        <w:tab/>
      </w:r>
    </w:p>
    <w:p>
      <w:pPr>
        <w:spacing w:after="0"/>
        <w:sectPr>
          <w:pgSz w:w="11910" w:h="16840"/>
          <w:pgMar w:top="1660" w:right="1200" w:bottom="280" w:left="1260" w:header="713" w:footer="0" w:gutter="0"/>
        </w:sectPr>
      </w:pPr>
    </w:p>
    <w:p>
      <w:pPr>
        <w:keepNext w:val="0"/>
        <w:keepLines w:val="0"/>
        <w:widowControl/>
        <w:suppressLineNumbers w:val="0"/>
        <w:jc w:val="left"/>
        <w:rPr>
          <w:rFonts w:hint="eastAsia"/>
          <w:b/>
          <w:sz w:val="21"/>
          <w:lang w:eastAsia="zh-CN"/>
        </w:rPr>
      </w:pPr>
    </w:p>
    <w:p>
      <w:pPr>
        <w:keepNext w:val="0"/>
        <w:keepLines w:val="0"/>
        <w:widowControl/>
        <w:suppressLineNumbers w:val="0"/>
        <w:jc w:val="left"/>
        <w:rPr>
          <w:sz w:val="21"/>
        </w:rPr>
      </w:pPr>
      <w:r>
        <w:rPr>
          <w:rFonts w:hint="eastAsia"/>
          <w:b/>
          <w:sz w:val="21"/>
          <w:lang w:eastAsia="zh-CN"/>
        </w:rPr>
        <w:t>联系人：</w:t>
      </w:r>
      <w:r>
        <w:rPr>
          <w:rFonts w:hint="eastAsia" w:ascii="幼圆" w:hAnsi="幼圆" w:eastAsia="幼圆" w:cs="幼圆"/>
          <w:color w:val="000000"/>
          <w:kern w:val="0"/>
          <w:sz w:val="20"/>
          <w:szCs w:val="20"/>
          <w:lang w:val="en-US" w:eastAsia="zh-CN" w:bidi="ar"/>
        </w:rPr>
        <w:t>张艳 156 90653733</w:t>
      </w:r>
    </w:p>
    <w:p>
      <w:pPr>
        <w:keepNext w:val="0"/>
        <w:keepLines w:val="0"/>
        <w:widowControl/>
        <w:suppressLineNumbers w:val="0"/>
        <w:jc w:val="left"/>
      </w:pPr>
      <w:r>
        <w:rPr>
          <w:b/>
          <w:sz w:val="21"/>
        </w:rPr>
        <w:t>邮</w:t>
      </w:r>
      <w:r>
        <w:rPr>
          <w:rFonts w:hint="eastAsia"/>
          <w:b/>
          <w:sz w:val="21"/>
          <w:lang w:val="en-US" w:eastAsia="zh-CN"/>
        </w:rPr>
        <w:t xml:space="preserve">  </w:t>
      </w:r>
      <w:r>
        <w:rPr>
          <w:b/>
          <w:sz w:val="21"/>
        </w:rPr>
        <w:t>箱：</w:t>
      </w:r>
      <w:r>
        <w:fldChar w:fldCharType="begin"/>
      </w:r>
      <w:r>
        <w:instrText xml:space="preserve"> HYPERLINK "mailto:363306364@qq.com" \h </w:instrText>
      </w:r>
      <w:r>
        <w:fldChar w:fldCharType="separate"/>
      </w:r>
      <w:r>
        <w:rPr>
          <w:rFonts w:ascii="幼圆" w:hAnsi="幼圆" w:eastAsia="幼圆" w:cs="幼圆"/>
          <w:color w:val="000000"/>
          <w:kern w:val="0"/>
          <w:sz w:val="20"/>
          <w:szCs w:val="20"/>
          <w:lang w:val="en-US" w:eastAsia="zh-CN" w:bidi="ar"/>
        </w:rPr>
        <w:t>2229764178@qq.com</w:t>
      </w:r>
    </w:p>
    <w:p>
      <w:pPr>
        <w:tabs>
          <w:tab w:val="left" w:pos="580"/>
        </w:tabs>
        <w:spacing w:before="171"/>
        <w:ind w:right="0"/>
        <w:jc w:val="left"/>
        <w:rPr>
          <w:sz w:val="21"/>
        </w:rPr>
      </w:pPr>
      <w:r>
        <w:rPr>
          <w:sz w:val="21"/>
        </w:rPr>
        <w:fldChar w:fldCharType="end"/>
      </w:r>
    </w:p>
    <w:sectPr>
      <w:type w:val="continuous"/>
      <w:pgSz w:w="11910" w:h="16840"/>
      <w:pgMar w:top="1660" w:right="1200" w:bottom="280" w:left="1260" w:header="720" w:footer="720" w:gutter="0"/>
      <w:cols w:equalWidth="0" w:num="2">
        <w:col w:w="2837" w:space="525"/>
        <w:col w:w="60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drawing>
        <wp:anchor distT="0" distB="0" distL="0" distR="0" simplePos="0" relativeHeight="251508736" behindDoc="1" locked="0" layoutInCell="1" allowOverlap="1">
          <wp:simplePos x="0" y="0"/>
          <wp:positionH relativeFrom="page">
            <wp:posOffset>4257040</wp:posOffset>
          </wp:positionH>
          <wp:positionV relativeFrom="page">
            <wp:posOffset>452120</wp:posOffset>
          </wp:positionV>
          <wp:extent cx="2364740" cy="4432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2364859" cy="443395"/>
                  </a:xfrm>
                  <a:prstGeom prst="rect">
                    <a:avLst/>
                  </a:prstGeom>
                </pic:spPr>
              </pic:pic>
            </a:graphicData>
          </a:graphic>
        </wp:anchor>
      </w:drawing>
    </w:r>
    <w:r>
      <w:pict>
        <v:group id="_x0000_s4097" o:spid="_x0000_s4097" o:spt="203" style="position:absolute;left:0pt;margin-left:69.05pt;margin-top:48.35pt;height:28pt;width:29.2pt;mso-position-horizontal-relative:page;mso-position-vertical-relative:page;z-index:-251806720;mso-width-relative:page;mso-height-relative:page;" coordorigin="1382,968" coordsize="584,560">
          <o:lock v:ext="edit"/>
          <v:shape id="_x0000_s4098" o:spid="_x0000_s4098" style="position:absolute;left:1512;top:1187;height:341;width:454;" fillcolor="#205867" filled="t" stroked="f" coordorigin="1512,1187" coordsize="454,341" path="m1966,1187l1625,1187,1512,1528,1852,1528,1966,1187xe">
            <v:path arrowok="t"/>
            <v:fill on="t" opacity="32896f" focussize="0,0"/>
            <v:stroke on="f"/>
            <v:imagedata o:title=""/>
            <o:lock v:ext="edit"/>
          </v:shape>
          <v:shape id="_x0000_s4099" o:spid="_x0000_s4099" style="position:absolute;left:1492;top:1147;height:341;width:454;" fillcolor="#4BACC6" filled="t" stroked="f" coordorigin="1492,1147" coordsize="454,341" path="m1946,1147l1605,1147,1492,1488,1832,1488,1946,1147xe">
            <v:path arrowok="t"/>
            <v:fill on="t" focussize="0,0"/>
            <v:stroke on="f"/>
            <v:imagedata o:title=""/>
            <o:lock v:ext="edit"/>
          </v:shape>
          <v:shape id="_x0000_s4100" o:spid="_x0000_s4100" o:spt="75" type="#_x0000_t75" style="position:absolute;left:1382;top:968;height:404;width:452;" filled="f" stroked="f" coordsize="21600,21600">
            <v:path/>
            <v:fill on="f" focussize="0,0"/>
            <v:stroke on="f"/>
            <v:imagedata r:id="rId2" o:title=""/>
            <o:lock v:ext="edit" aspectratio="t"/>
          </v:shape>
        </v:group>
      </w:pict>
    </w:r>
    <w:r>
      <w:pict>
        <v:line id="_x0000_s4101" o:spid="_x0000_s4101" o:spt="20" style="position:absolute;left:0pt;margin-left:69.4pt;margin-top:79.95pt;height:0pt;width:456.45pt;mso-position-horizontal-relative:page;mso-position-vertical-relative:page;z-index:-251805696;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0"/>
      <w:numFmt w:val="bullet"/>
      <w:lvlText w:val=""/>
      <w:lvlJc w:val="left"/>
      <w:pPr>
        <w:ind w:left="578" w:hanging="420"/>
      </w:pPr>
      <w:rPr>
        <w:rFonts w:hint="default" w:ascii="Wingdings" w:hAnsi="Wingdings" w:eastAsia="Wingdings" w:cs="Wingdings"/>
        <w:w w:val="100"/>
        <w:sz w:val="21"/>
        <w:szCs w:val="21"/>
        <w:lang w:val="zh-CN" w:eastAsia="zh-CN" w:bidi="zh-CN"/>
      </w:rPr>
    </w:lvl>
    <w:lvl w:ilvl="1" w:tentative="0">
      <w:start w:val="0"/>
      <w:numFmt w:val="bullet"/>
      <w:lvlText w:val="•"/>
      <w:lvlJc w:val="left"/>
      <w:pPr>
        <w:ind w:left="1466" w:hanging="420"/>
      </w:pPr>
      <w:rPr>
        <w:rFonts w:hint="default"/>
        <w:lang w:val="zh-CN" w:eastAsia="zh-CN" w:bidi="zh-CN"/>
      </w:rPr>
    </w:lvl>
    <w:lvl w:ilvl="2" w:tentative="0">
      <w:start w:val="0"/>
      <w:numFmt w:val="bullet"/>
      <w:lvlText w:val="•"/>
      <w:lvlJc w:val="left"/>
      <w:pPr>
        <w:ind w:left="2353" w:hanging="420"/>
      </w:pPr>
      <w:rPr>
        <w:rFonts w:hint="default"/>
        <w:lang w:val="zh-CN" w:eastAsia="zh-CN" w:bidi="zh-CN"/>
      </w:rPr>
    </w:lvl>
    <w:lvl w:ilvl="3" w:tentative="0">
      <w:start w:val="0"/>
      <w:numFmt w:val="bullet"/>
      <w:lvlText w:val="•"/>
      <w:lvlJc w:val="left"/>
      <w:pPr>
        <w:ind w:left="3239" w:hanging="420"/>
      </w:pPr>
      <w:rPr>
        <w:rFonts w:hint="default"/>
        <w:lang w:val="zh-CN" w:eastAsia="zh-CN" w:bidi="zh-CN"/>
      </w:rPr>
    </w:lvl>
    <w:lvl w:ilvl="4" w:tentative="0">
      <w:start w:val="0"/>
      <w:numFmt w:val="bullet"/>
      <w:lvlText w:val="•"/>
      <w:lvlJc w:val="left"/>
      <w:pPr>
        <w:ind w:left="4126" w:hanging="420"/>
      </w:pPr>
      <w:rPr>
        <w:rFonts w:hint="default"/>
        <w:lang w:val="zh-CN" w:eastAsia="zh-CN" w:bidi="zh-CN"/>
      </w:rPr>
    </w:lvl>
    <w:lvl w:ilvl="5" w:tentative="0">
      <w:start w:val="0"/>
      <w:numFmt w:val="bullet"/>
      <w:lvlText w:val="•"/>
      <w:lvlJc w:val="left"/>
      <w:pPr>
        <w:ind w:left="5013" w:hanging="420"/>
      </w:pPr>
      <w:rPr>
        <w:rFonts w:hint="default"/>
        <w:lang w:val="zh-CN" w:eastAsia="zh-CN" w:bidi="zh-CN"/>
      </w:rPr>
    </w:lvl>
    <w:lvl w:ilvl="6" w:tentative="0">
      <w:start w:val="0"/>
      <w:numFmt w:val="bullet"/>
      <w:lvlText w:val="•"/>
      <w:lvlJc w:val="left"/>
      <w:pPr>
        <w:ind w:left="5899" w:hanging="420"/>
      </w:pPr>
      <w:rPr>
        <w:rFonts w:hint="default"/>
        <w:lang w:val="zh-CN" w:eastAsia="zh-CN" w:bidi="zh-CN"/>
      </w:rPr>
    </w:lvl>
    <w:lvl w:ilvl="7" w:tentative="0">
      <w:start w:val="0"/>
      <w:numFmt w:val="bullet"/>
      <w:lvlText w:val="•"/>
      <w:lvlJc w:val="left"/>
      <w:pPr>
        <w:ind w:left="6786" w:hanging="420"/>
      </w:pPr>
      <w:rPr>
        <w:rFonts w:hint="default"/>
        <w:lang w:val="zh-CN" w:eastAsia="zh-CN" w:bidi="zh-CN"/>
      </w:rPr>
    </w:lvl>
    <w:lvl w:ilvl="8" w:tentative="0">
      <w:start w:val="0"/>
      <w:numFmt w:val="bullet"/>
      <w:lvlText w:val="•"/>
      <w:lvlJc w:val="left"/>
      <w:pPr>
        <w:ind w:left="7673" w:hanging="42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578" w:hanging="420"/>
        <w:jc w:val="left"/>
      </w:pPr>
      <w:rPr>
        <w:rFonts w:hint="default" w:ascii="幼圆" w:hAnsi="幼圆" w:eastAsia="幼圆" w:cs="幼圆"/>
        <w:w w:val="100"/>
        <w:sz w:val="21"/>
        <w:szCs w:val="21"/>
        <w:lang w:val="zh-CN" w:eastAsia="zh-CN" w:bidi="zh-CN"/>
      </w:rPr>
    </w:lvl>
    <w:lvl w:ilvl="1" w:tentative="0">
      <w:start w:val="0"/>
      <w:numFmt w:val="bullet"/>
      <w:lvlText w:val="•"/>
      <w:lvlJc w:val="left"/>
      <w:pPr>
        <w:ind w:left="1466" w:hanging="420"/>
      </w:pPr>
      <w:rPr>
        <w:rFonts w:hint="default"/>
        <w:lang w:val="zh-CN" w:eastAsia="zh-CN" w:bidi="zh-CN"/>
      </w:rPr>
    </w:lvl>
    <w:lvl w:ilvl="2" w:tentative="0">
      <w:start w:val="0"/>
      <w:numFmt w:val="bullet"/>
      <w:lvlText w:val="•"/>
      <w:lvlJc w:val="left"/>
      <w:pPr>
        <w:ind w:left="2353" w:hanging="420"/>
      </w:pPr>
      <w:rPr>
        <w:rFonts w:hint="default"/>
        <w:lang w:val="zh-CN" w:eastAsia="zh-CN" w:bidi="zh-CN"/>
      </w:rPr>
    </w:lvl>
    <w:lvl w:ilvl="3" w:tentative="0">
      <w:start w:val="0"/>
      <w:numFmt w:val="bullet"/>
      <w:lvlText w:val="•"/>
      <w:lvlJc w:val="left"/>
      <w:pPr>
        <w:ind w:left="3239" w:hanging="420"/>
      </w:pPr>
      <w:rPr>
        <w:rFonts w:hint="default"/>
        <w:lang w:val="zh-CN" w:eastAsia="zh-CN" w:bidi="zh-CN"/>
      </w:rPr>
    </w:lvl>
    <w:lvl w:ilvl="4" w:tentative="0">
      <w:start w:val="0"/>
      <w:numFmt w:val="bullet"/>
      <w:lvlText w:val="•"/>
      <w:lvlJc w:val="left"/>
      <w:pPr>
        <w:ind w:left="4126" w:hanging="420"/>
      </w:pPr>
      <w:rPr>
        <w:rFonts w:hint="default"/>
        <w:lang w:val="zh-CN" w:eastAsia="zh-CN" w:bidi="zh-CN"/>
      </w:rPr>
    </w:lvl>
    <w:lvl w:ilvl="5" w:tentative="0">
      <w:start w:val="0"/>
      <w:numFmt w:val="bullet"/>
      <w:lvlText w:val="•"/>
      <w:lvlJc w:val="left"/>
      <w:pPr>
        <w:ind w:left="5013" w:hanging="420"/>
      </w:pPr>
      <w:rPr>
        <w:rFonts w:hint="default"/>
        <w:lang w:val="zh-CN" w:eastAsia="zh-CN" w:bidi="zh-CN"/>
      </w:rPr>
    </w:lvl>
    <w:lvl w:ilvl="6" w:tentative="0">
      <w:start w:val="0"/>
      <w:numFmt w:val="bullet"/>
      <w:lvlText w:val="•"/>
      <w:lvlJc w:val="left"/>
      <w:pPr>
        <w:ind w:left="5899" w:hanging="420"/>
      </w:pPr>
      <w:rPr>
        <w:rFonts w:hint="default"/>
        <w:lang w:val="zh-CN" w:eastAsia="zh-CN" w:bidi="zh-CN"/>
      </w:rPr>
    </w:lvl>
    <w:lvl w:ilvl="7" w:tentative="0">
      <w:start w:val="0"/>
      <w:numFmt w:val="bullet"/>
      <w:lvlText w:val="•"/>
      <w:lvlJc w:val="left"/>
      <w:pPr>
        <w:ind w:left="6786" w:hanging="420"/>
      </w:pPr>
      <w:rPr>
        <w:rFonts w:hint="default"/>
        <w:lang w:val="zh-CN" w:eastAsia="zh-CN" w:bidi="zh-CN"/>
      </w:rPr>
    </w:lvl>
    <w:lvl w:ilvl="8" w:tentative="0">
      <w:start w:val="0"/>
      <w:numFmt w:val="bullet"/>
      <w:lvlText w:val="•"/>
      <w:lvlJc w:val="left"/>
      <w:pPr>
        <w:ind w:left="7673" w:hanging="420"/>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578" w:hanging="420"/>
        <w:jc w:val="left"/>
      </w:pPr>
      <w:rPr>
        <w:rFonts w:hint="default" w:ascii="幼圆" w:hAnsi="幼圆" w:eastAsia="幼圆" w:cs="幼圆"/>
        <w:spacing w:val="-53"/>
        <w:w w:val="100"/>
        <w:sz w:val="21"/>
        <w:szCs w:val="21"/>
        <w:lang w:val="zh-CN" w:eastAsia="zh-CN" w:bidi="zh-CN"/>
      </w:rPr>
    </w:lvl>
    <w:lvl w:ilvl="1" w:tentative="0">
      <w:start w:val="0"/>
      <w:numFmt w:val="bullet"/>
      <w:lvlText w:val="•"/>
      <w:lvlJc w:val="left"/>
      <w:pPr>
        <w:ind w:left="1466" w:hanging="420"/>
      </w:pPr>
      <w:rPr>
        <w:rFonts w:hint="default"/>
        <w:lang w:val="zh-CN" w:eastAsia="zh-CN" w:bidi="zh-CN"/>
      </w:rPr>
    </w:lvl>
    <w:lvl w:ilvl="2" w:tentative="0">
      <w:start w:val="0"/>
      <w:numFmt w:val="bullet"/>
      <w:lvlText w:val="•"/>
      <w:lvlJc w:val="left"/>
      <w:pPr>
        <w:ind w:left="2353" w:hanging="420"/>
      </w:pPr>
      <w:rPr>
        <w:rFonts w:hint="default"/>
        <w:lang w:val="zh-CN" w:eastAsia="zh-CN" w:bidi="zh-CN"/>
      </w:rPr>
    </w:lvl>
    <w:lvl w:ilvl="3" w:tentative="0">
      <w:start w:val="0"/>
      <w:numFmt w:val="bullet"/>
      <w:lvlText w:val="•"/>
      <w:lvlJc w:val="left"/>
      <w:pPr>
        <w:ind w:left="3239" w:hanging="420"/>
      </w:pPr>
      <w:rPr>
        <w:rFonts w:hint="default"/>
        <w:lang w:val="zh-CN" w:eastAsia="zh-CN" w:bidi="zh-CN"/>
      </w:rPr>
    </w:lvl>
    <w:lvl w:ilvl="4" w:tentative="0">
      <w:start w:val="0"/>
      <w:numFmt w:val="bullet"/>
      <w:lvlText w:val="•"/>
      <w:lvlJc w:val="left"/>
      <w:pPr>
        <w:ind w:left="4126" w:hanging="420"/>
      </w:pPr>
      <w:rPr>
        <w:rFonts w:hint="default"/>
        <w:lang w:val="zh-CN" w:eastAsia="zh-CN" w:bidi="zh-CN"/>
      </w:rPr>
    </w:lvl>
    <w:lvl w:ilvl="5" w:tentative="0">
      <w:start w:val="0"/>
      <w:numFmt w:val="bullet"/>
      <w:lvlText w:val="•"/>
      <w:lvlJc w:val="left"/>
      <w:pPr>
        <w:ind w:left="5013" w:hanging="420"/>
      </w:pPr>
      <w:rPr>
        <w:rFonts w:hint="default"/>
        <w:lang w:val="zh-CN" w:eastAsia="zh-CN" w:bidi="zh-CN"/>
      </w:rPr>
    </w:lvl>
    <w:lvl w:ilvl="6" w:tentative="0">
      <w:start w:val="0"/>
      <w:numFmt w:val="bullet"/>
      <w:lvlText w:val="•"/>
      <w:lvlJc w:val="left"/>
      <w:pPr>
        <w:ind w:left="5899" w:hanging="420"/>
      </w:pPr>
      <w:rPr>
        <w:rFonts w:hint="default"/>
        <w:lang w:val="zh-CN" w:eastAsia="zh-CN" w:bidi="zh-CN"/>
      </w:rPr>
    </w:lvl>
    <w:lvl w:ilvl="7" w:tentative="0">
      <w:start w:val="0"/>
      <w:numFmt w:val="bullet"/>
      <w:lvlText w:val="•"/>
      <w:lvlJc w:val="left"/>
      <w:pPr>
        <w:ind w:left="6786" w:hanging="420"/>
      </w:pPr>
      <w:rPr>
        <w:rFonts w:hint="default"/>
        <w:lang w:val="zh-CN" w:eastAsia="zh-CN" w:bidi="zh-CN"/>
      </w:rPr>
    </w:lvl>
    <w:lvl w:ilvl="8" w:tentative="0">
      <w:start w:val="0"/>
      <w:numFmt w:val="bullet"/>
      <w:lvlText w:val="•"/>
      <w:lvlJc w:val="left"/>
      <w:pPr>
        <w:ind w:left="7673" w:hanging="420"/>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1BC05FC0"/>
    <w:rsid w:val="1F6733FC"/>
    <w:rsid w:val="79191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幼圆" w:hAnsi="幼圆" w:eastAsia="幼圆" w:cs="幼圆"/>
      <w:sz w:val="22"/>
      <w:szCs w:val="22"/>
      <w:lang w:val="zh-CN" w:eastAsia="zh-CN" w:bidi="zh-CN"/>
    </w:rPr>
  </w:style>
  <w:style w:type="paragraph" w:styleId="2">
    <w:name w:val="heading 1"/>
    <w:basedOn w:val="1"/>
    <w:next w:val="1"/>
    <w:qFormat/>
    <w:uiPriority w:val="1"/>
    <w:pPr>
      <w:ind w:left="158"/>
      <w:outlineLvl w:val="1"/>
    </w:pPr>
    <w:rPr>
      <w:rFonts w:ascii="Microsoft JhengHei" w:hAnsi="Microsoft JhengHei" w:eastAsia="Microsoft JhengHei" w:cs="Microsoft JhengHei"/>
      <w:b/>
      <w:bCs/>
      <w:sz w:val="28"/>
      <w:szCs w:val="28"/>
      <w:lang w:val="zh-CN" w:eastAsia="zh-CN" w:bidi="zh-CN"/>
    </w:rPr>
  </w:style>
  <w:style w:type="paragraph" w:styleId="3">
    <w:name w:val="heading 2"/>
    <w:basedOn w:val="1"/>
    <w:next w:val="1"/>
    <w:qFormat/>
    <w:uiPriority w:val="1"/>
    <w:pPr>
      <w:spacing w:before="1"/>
      <w:ind w:left="119"/>
      <w:outlineLvl w:val="2"/>
    </w:pPr>
    <w:rPr>
      <w:rFonts w:ascii="Arial Unicode MS" w:hAnsi="Arial Unicode MS" w:eastAsia="Arial Unicode MS" w:cs="Arial Unicode MS"/>
      <w:sz w:val="24"/>
      <w:szCs w:val="2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幼圆" w:hAnsi="幼圆" w:eastAsia="幼圆" w:cs="幼圆"/>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
      <w:ind w:left="578" w:hanging="420"/>
    </w:pPr>
    <w:rPr>
      <w:rFonts w:ascii="幼圆" w:hAnsi="幼圆" w:eastAsia="幼圆" w:cs="幼圆"/>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100"/>
    <customShpInfo spid="_x0000_s4097"/>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2020-04-26T08:14:00Z</dcterms:created>
  <dc:creator>Administrator</dc:creator>
  <cp:lastModifiedBy>我是谁1381211210</cp:lastModifiedBy>
  <dcterms:modified xsi:type="dcterms:W3CDTF">2020-04-30T07:09:01Z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Acrobat PDFMaker 18 Word 版</vt:lpwstr>
  </property>
  <property fmtid="{D5CDD505-2E9C-101B-9397-08002B2CF9AE}" pid="4" name="LastSaved">
    <vt:filetime>2020-04-26T00:00:00Z</vt:filetime>
  </property>
  <property fmtid="{D5CDD505-2E9C-101B-9397-08002B2CF9AE}" pid="5" name="KSOProductBuildVer">
    <vt:lpwstr>2052-11.1.0.9584</vt:lpwstr>
  </property>
</Properties>
</file>