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sz w:val="32"/>
          <w:szCs w:val="32"/>
        </w:rPr>
      </w:pPr>
      <w:bookmarkStart w:id="0" w:name="_GoBack"/>
      <w:bookmarkEnd w:id="0"/>
      <w:r>
        <w:rPr>
          <w:rFonts w:hint="eastAsia"/>
          <w:sz w:val="32"/>
          <w:szCs w:val="32"/>
        </w:rPr>
        <w:drawing>
          <wp:anchor distT="0" distB="0" distL="114300" distR="114300" simplePos="0" relativeHeight="251658240" behindDoc="0" locked="0" layoutInCell="1" allowOverlap="1">
            <wp:simplePos x="0" y="0"/>
            <wp:positionH relativeFrom="column">
              <wp:posOffset>-690245</wp:posOffset>
            </wp:positionH>
            <wp:positionV relativeFrom="paragraph">
              <wp:posOffset>-862330</wp:posOffset>
            </wp:positionV>
            <wp:extent cx="6884035" cy="1567815"/>
            <wp:effectExtent l="0" t="0" r="0" b="0"/>
            <wp:wrapNone/>
            <wp:docPr id="2" name="图片 2" descr="物流展题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物流展题头1"/>
                    <pic:cNvPicPr>
                      <a:picLocks noChangeAspect="1"/>
                    </pic:cNvPicPr>
                  </pic:nvPicPr>
                  <pic:blipFill>
                    <a:blip r:embed="rId4"/>
                    <a:stretch>
                      <a:fillRect/>
                    </a:stretch>
                  </pic:blipFill>
                  <pic:spPr>
                    <a:xfrm>
                      <a:off x="0" y="0"/>
                      <a:ext cx="6883880" cy="1567932"/>
                    </a:xfrm>
                    <a:prstGeom prst="rect">
                      <a:avLst/>
                    </a:prstGeom>
                  </pic:spPr>
                </pic:pic>
              </a:graphicData>
            </a:graphic>
          </wp:anchor>
        </w:drawing>
      </w:r>
    </w:p>
    <w:p>
      <w:pPr>
        <w:spacing w:line="320" w:lineRule="exact"/>
        <w:jc w:val="center"/>
        <w:rPr>
          <w:sz w:val="32"/>
          <w:szCs w:val="32"/>
        </w:rPr>
      </w:pPr>
    </w:p>
    <w:tbl>
      <w:tblPr>
        <w:tblStyle w:val="3"/>
        <w:tblpPr w:leftFromText="180" w:rightFromText="180" w:vertAnchor="text" w:horzAnchor="page" w:tblpX="1815" w:tblpY="55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4261" w:type="dxa"/>
          </w:tcPr>
          <w:p>
            <w:pPr>
              <w:spacing w:line="320" w:lineRule="exact"/>
              <w:jc w:val="left"/>
            </w:pPr>
            <w:r>
              <w:rPr>
                <w:rFonts w:hint="eastAsia"/>
                <w:b/>
                <w:color w:val="2F5597" w:themeColor="accent5" w:themeShade="BF"/>
              </w:rPr>
              <w:t>大会中国支持</w:t>
            </w:r>
          </w:p>
        </w:tc>
        <w:tc>
          <w:tcPr>
            <w:tcW w:w="4261" w:type="dxa"/>
          </w:tcPr>
          <w:p>
            <w:pPr>
              <w:spacing w:line="320" w:lineRule="exact"/>
              <w:jc w:val="left"/>
            </w:pPr>
            <w:r>
              <w:rPr>
                <w:rFonts w:hint="eastAsia"/>
                <w:b/>
                <w:color w:val="2F5597" w:themeColor="accent5" w:themeShade="BF"/>
              </w:rPr>
              <w:t>合作主办单位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rPr>
              <w:t>中国科学技术协会</w:t>
            </w:r>
          </w:p>
        </w:tc>
        <w:tc>
          <w:tcPr>
            <w:tcW w:w="4261" w:type="dxa"/>
          </w:tcPr>
          <w:p>
            <w:pPr>
              <w:spacing w:line="320" w:lineRule="exact"/>
              <w:jc w:val="left"/>
            </w:pPr>
            <w:r>
              <w:rPr>
                <w:rFonts w:hint="eastAsia"/>
              </w:rPr>
              <w:t>中国计算机用户协会智能控制分会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b/>
                <w:color w:val="2F5597" w:themeColor="accent5" w:themeShade="BF"/>
              </w:rPr>
              <w:t>大会韩国支持</w:t>
            </w:r>
          </w:p>
        </w:tc>
        <w:tc>
          <w:tcPr>
            <w:tcW w:w="4261" w:type="dxa"/>
          </w:tcPr>
          <w:p>
            <w:pPr>
              <w:spacing w:line="320" w:lineRule="exact"/>
              <w:jc w:val="left"/>
            </w:pPr>
            <w:r>
              <w:rPr>
                <w:rFonts w:hint="eastAsia"/>
              </w:rPr>
              <w:t>中国机械工业联合会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rPr>
              <w:t>韩国机械产业振兴会（KOAMI）</w:t>
            </w:r>
          </w:p>
        </w:tc>
        <w:tc>
          <w:tcPr>
            <w:tcW w:w="4261" w:type="dxa"/>
          </w:tcPr>
          <w:p>
            <w:pPr>
              <w:spacing w:line="320" w:lineRule="exact"/>
              <w:jc w:val="left"/>
            </w:pPr>
            <w:r>
              <w:rPr>
                <w:rFonts w:hint="eastAsia"/>
              </w:rPr>
              <w:t>中国机电产品进出口商会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b/>
                <w:color w:val="2F5597" w:themeColor="accent5" w:themeShade="BF"/>
              </w:rPr>
              <w:t>大会日本支持</w:t>
            </w:r>
          </w:p>
        </w:tc>
        <w:tc>
          <w:tcPr>
            <w:tcW w:w="4261" w:type="dxa"/>
          </w:tcPr>
          <w:p>
            <w:pPr>
              <w:spacing w:line="320" w:lineRule="exact"/>
              <w:jc w:val="left"/>
            </w:pPr>
            <w:r>
              <w:rPr>
                <w:rFonts w:hint="eastAsia"/>
              </w:rPr>
              <w:t>中国交通运输联合协会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4261" w:type="dxa"/>
          </w:tcPr>
          <w:p>
            <w:pPr>
              <w:spacing w:line="320" w:lineRule="exact"/>
              <w:jc w:val="left"/>
            </w:pPr>
            <w:r>
              <w:rPr>
                <w:rFonts w:hint="eastAsia"/>
              </w:rPr>
              <w:t>日本科学技术振兴机构（JST）</w:t>
            </w:r>
          </w:p>
        </w:tc>
        <w:tc>
          <w:tcPr>
            <w:tcW w:w="4261" w:type="dxa"/>
          </w:tcPr>
          <w:p>
            <w:pPr>
              <w:spacing w:line="320" w:lineRule="exact"/>
              <w:jc w:val="left"/>
            </w:pPr>
            <w:r>
              <w:rPr>
                <w:rFonts w:hint="eastAsia"/>
              </w:rPr>
              <w:t>山东省自动化学会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b/>
                <w:color w:val="2F5597" w:themeColor="accent5" w:themeShade="BF"/>
              </w:rPr>
              <w:t>主办单位</w:t>
            </w:r>
          </w:p>
        </w:tc>
        <w:tc>
          <w:tcPr>
            <w:tcW w:w="4261" w:type="dxa"/>
          </w:tcPr>
          <w:p>
            <w:pPr>
              <w:spacing w:line="320" w:lineRule="exact"/>
              <w:jc w:val="left"/>
            </w:pPr>
            <w:r>
              <w:rPr>
                <w:rFonts w:hint="eastAsia"/>
              </w:rPr>
              <w:t>山东省物联网协会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rPr>
              <w:t>中国国际贸易促进委员会机械行业分会</w:t>
            </w:r>
          </w:p>
        </w:tc>
        <w:tc>
          <w:tcPr>
            <w:tcW w:w="4261" w:type="dxa"/>
          </w:tcPr>
          <w:p>
            <w:pPr>
              <w:spacing w:line="320" w:lineRule="exact"/>
              <w:jc w:val="left"/>
            </w:pPr>
            <w:r>
              <w:rPr>
                <w:rFonts w:hint="eastAsia"/>
              </w:rPr>
              <w:t>山东省电子学会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pPr>
            <w:r>
              <w:rPr>
                <w:rFonts w:hint="eastAsia"/>
              </w:rPr>
              <w:t>山东省科学技术学会</w:t>
            </w:r>
          </w:p>
        </w:tc>
        <w:tc>
          <w:tcPr>
            <w:tcW w:w="4261" w:type="dxa"/>
          </w:tcPr>
          <w:p>
            <w:pPr>
              <w:spacing w:line="320" w:lineRule="exact"/>
              <w:jc w:val="left"/>
            </w:pPr>
            <w:r>
              <w:rPr>
                <w:rFonts w:hint="eastAsia"/>
              </w:rPr>
              <w:t>山东省机器人研究会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jc w:val="left"/>
              <w:rPr>
                <w:b/>
                <w:bCs/>
              </w:rPr>
            </w:pPr>
            <w:r>
              <w:rPr>
                <w:rFonts w:hint="eastAsia"/>
                <w:b/>
                <w:color w:val="2F5597" w:themeColor="accent5" w:themeShade="BF"/>
              </w:rPr>
              <w:t>承办单位</w:t>
            </w:r>
          </w:p>
        </w:tc>
        <w:tc>
          <w:tcPr>
            <w:tcW w:w="4261" w:type="dxa"/>
          </w:tcPr>
          <w:p>
            <w:pPr>
              <w:spacing w:line="320" w:lineRule="exact"/>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pacing w:line="320" w:lineRule="exact"/>
            </w:pPr>
            <w:r>
              <w:rPr>
                <w:rFonts w:hint="eastAsia"/>
              </w:rPr>
              <w:t>青岛金诺国际会展有限公司</w:t>
            </w:r>
          </w:p>
        </w:tc>
        <w:tc>
          <w:tcPr>
            <w:tcW w:w="4261" w:type="dxa"/>
          </w:tcPr>
          <w:p>
            <w:pPr>
              <w:spacing w:line="320" w:lineRule="exact"/>
            </w:pPr>
          </w:p>
        </w:tc>
      </w:tr>
    </w:tbl>
    <w:p>
      <w:pPr>
        <w:spacing w:line="320" w:lineRule="exact"/>
        <w:rPr>
          <w:rFonts w:ascii="黑体" w:hAnsi="宋体" w:eastAsia="黑体" w:cs="宋体"/>
          <w:b/>
          <w:color w:val="FF0000"/>
          <w:spacing w:val="-8"/>
          <w:sz w:val="24"/>
          <w:szCs w:val="24"/>
        </w:rPr>
      </w:pPr>
    </w:p>
    <w:p>
      <w:pPr>
        <w:spacing w:line="320" w:lineRule="exact"/>
        <w:rPr>
          <w:b/>
          <w:color w:val="2F5597" w:themeColor="accent5" w:themeShade="BF"/>
          <w:sz w:val="28"/>
          <w:szCs w:val="28"/>
        </w:rPr>
      </w:pPr>
    </w:p>
    <w:p>
      <w:pPr>
        <w:spacing w:line="320" w:lineRule="exact"/>
        <w:rPr>
          <w:b/>
          <w:color w:val="2F5597" w:themeColor="accent5" w:themeShade="BF"/>
          <w:sz w:val="28"/>
          <w:szCs w:val="28"/>
        </w:rPr>
      </w:pPr>
      <w:r>
        <w:rPr>
          <w:rFonts w:hint="eastAsia"/>
          <w:b/>
          <w:color w:val="2F5597" w:themeColor="accent5" w:themeShade="BF"/>
          <w:sz w:val="28"/>
          <w:szCs w:val="28"/>
        </w:rPr>
        <w:t>展会背景</w:t>
      </w:r>
    </w:p>
    <w:p>
      <w:pPr>
        <w:spacing w:line="320" w:lineRule="exact"/>
        <w:ind w:firstLine="420" w:firstLineChars="200"/>
      </w:pPr>
      <w:r>
        <w:rPr>
          <w:rFonts w:hint="eastAsia"/>
        </w:rPr>
        <w:t>随着《中国制造2</w:t>
      </w:r>
      <w:r>
        <w:t>025</w:t>
      </w:r>
      <w:r>
        <w:rPr>
          <w:rFonts w:hint="eastAsia"/>
        </w:rPr>
        <w:t>》规划的进一步落实和5G网络的不断推广与发展，智能仓储物流正在推动物流行业的发展。为推动仓储物流新技术、新产品和新理念交流与推广的的立体化平台，2</w:t>
      </w:r>
      <w:r>
        <w:t>020</w:t>
      </w:r>
      <w:r>
        <w:rPr>
          <w:rFonts w:hint="eastAsia"/>
        </w:rPr>
        <w:t>中国青岛国际智能仓储物流展览会将于2</w:t>
      </w:r>
      <w:r>
        <w:t>020</w:t>
      </w:r>
      <w:r>
        <w:rPr>
          <w:rFonts w:hint="eastAsia"/>
        </w:rPr>
        <w:t>年7月1</w:t>
      </w:r>
      <w:r>
        <w:t>7</w:t>
      </w:r>
      <w:r>
        <w:rPr>
          <w:rFonts w:hint="eastAsia"/>
        </w:rPr>
        <w:t>至2</w:t>
      </w:r>
      <w:r>
        <w:t>1</w:t>
      </w:r>
      <w:r>
        <w:rPr>
          <w:rFonts w:hint="eastAsia"/>
        </w:rPr>
        <w:t>日，在青岛红岛国际会议展览中心举办。</w:t>
      </w:r>
    </w:p>
    <w:p>
      <w:pPr>
        <w:spacing w:line="320" w:lineRule="exact"/>
        <w:ind w:firstLine="420" w:firstLineChars="200"/>
      </w:pPr>
      <w:r>
        <w:rPr>
          <w:rFonts w:hint="eastAsia"/>
        </w:rPr>
        <w:t>智能仓储物流以物联网技术为基础，利用集成智能化技术，通过射频识别、传感器、控制器、机器视觉技术和自动引导车、推垛机、输送机等设备让流通过程自动化、信息化、网络化。智能仓储物流展划分6大板块，垂直锁定智能化物流行业发展方向，构建三位一体的贸易交流平台。</w:t>
      </w:r>
    </w:p>
    <w:p>
      <w:pPr>
        <w:spacing w:line="320" w:lineRule="exact"/>
      </w:pPr>
    </w:p>
    <w:p>
      <w:pPr>
        <w:spacing w:line="320" w:lineRule="exact"/>
        <w:rPr>
          <w:b/>
          <w:color w:val="2F5597" w:themeColor="accent5" w:themeShade="BF"/>
          <w:sz w:val="28"/>
          <w:szCs w:val="28"/>
        </w:rPr>
      </w:pPr>
      <w:r>
        <w:rPr>
          <w:rFonts w:hint="eastAsia"/>
          <w:b/>
          <w:color w:val="2F5597" w:themeColor="accent5" w:themeShade="BF"/>
          <w:sz w:val="28"/>
          <w:szCs w:val="28"/>
        </w:rPr>
        <w:t>展出范围</w:t>
      </w:r>
    </w:p>
    <w:p>
      <w:pPr>
        <w:spacing w:line="320" w:lineRule="exact"/>
        <w:rPr>
          <w:b/>
        </w:rPr>
      </w:pPr>
      <w:r>
        <w:rPr>
          <w:rFonts w:hint="eastAsia"/>
          <w:b/>
        </w:rPr>
        <w:t>智能物流：</w:t>
      </w:r>
      <w:r>
        <w:rPr>
          <w:rFonts w:hint="eastAsia"/>
        </w:rPr>
        <w:t>物流无人机、条码识别技术、自动阿虎立体仓库、自动化分拣技术、自动化输送系统、GPS定位及跟踪系统、自动引导车AGV系统</w:t>
      </w:r>
    </w:p>
    <w:p>
      <w:pPr>
        <w:spacing w:line="320" w:lineRule="exact"/>
        <w:rPr>
          <w:b/>
        </w:rPr>
      </w:pPr>
      <w:r>
        <w:rPr>
          <w:rFonts w:hint="eastAsia"/>
          <w:b/>
        </w:rPr>
        <w:t>物流设备与材料：</w:t>
      </w:r>
      <w:r>
        <w:rPr>
          <w:rFonts w:hint="eastAsia"/>
        </w:rPr>
        <w:t>升降系统、输送系统、叉车及配件、起重设备及配件、供应链管理方案及软件</w:t>
      </w:r>
    </w:p>
    <w:p>
      <w:pPr>
        <w:spacing w:line="320" w:lineRule="exact"/>
        <w:rPr>
          <w:b/>
        </w:rPr>
      </w:pPr>
      <w:r>
        <w:rPr>
          <w:rFonts w:hint="eastAsia"/>
          <w:b/>
        </w:rPr>
        <w:t>冷链技术与材料：</w:t>
      </w:r>
      <w:r>
        <w:rPr>
          <w:rFonts w:hint="eastAsia"/>
        </w:rPr>
        <w:t>冷库制冷技术、冷链信息系统、冷链物流服务、药品冷链物流设备、温控设备与冷链材料、医药生化低温冷藏设备</w:t>
      </w:r>
    </w:p>
    <w:p>
      <w:pPr>
        <w:spacing w:line="320" w:lineRule="exact"/>
        <w:rPr>
          <w:b/>
        </w:rPr>
      </w:pPr>
      <w:r>
        <w:rPr>
          <w:rFonts w:hint="eastAsia"/>
          <w:b/>
        </w:rPr>
        <w:t>仓储设备与材料：</w:t>
      </w:r>
      <w:r>
        <w:rPr>
          <w:rFonts w:hint="eastAsia"/>
        </w:rPr>
        <w:t>仓储技术、仓储材料、仓储用品、仓储包装设备、仓库与保管清洁系统、运输与仓储管理系统</w:t>
      </w:r>
    </w:p>
    <w:p>
      <w:pPr>
        <w:spacing w:line="320" w:lineRule="exact"/>
        <w:rPr>
          <w:b/>
        </w:rPr>
      </w:pPr>
      <w:r>
        <w:rPr>
          <w:rFonts w:hint="eastAsia"/>
          <w:b/>
        </w:rPr>
        <w:t>物流信息化与物联网：</w:t>
      </w:r>
      <w:r>
        <w:rPr>
          <w:rFonts w:hint="eastAsia"/>
        </w:rPr>
        <w:t>自动识别系统、PFID电子签、读写器、无线传感器网络技术、视频监控系统、智能快递柜、仓库管理系统、仓储控制系统、数据处理系统、电子商务系统、运输调控与数据处理设备、无人驾驶运输系统、装备一体化解决方案、仓储云</w:t>
      </w:r>
    </w:p>
    <w:p>
      <w:pPr>
        <w:spacing w:line="320" w:lineRule="exact"/>
      </w:pPr>
      <w:r>
        <w:rPr>
          <w:rFonts w:hint="eastAsia"/>
          <w:b/>
        </w:rPr>
        <w:t>危险品物流</w:t>
      </w:r>
      <w:r>
        <w:rPr>
          <w:b/>
        </w:rPr>
        <w:t>/</w:t>
      </w:r>
      <w:r>
        <w:rPr>
          <w:rFonts w:hint="eastAsia"/>
          <w:b/>
        </w:rPr>
        <w:t>物流运输服务/医疗第三方物流</w:t>
      </w:r>
    </w:p>
    <w:p>
      <w:pPr>
        <w:spacing w:line="320" w:lineRule="exact"/>
        <w:rPr>
          <w:b/>
          <w:color w:val="2F5597" w:themeColor="accent5" w:themeShade="BF"/>
          <w:sz w:val="28"/>
          <w:szCs w:val="28"/>
        </w:rPr>
      </w:pPr>
      <w:r>
        <w:rPr>
          <w:rFonts w:hint="eastAsia"/>
          <w:b/>
          <w:color w:val="2F5597" w:themeColor="accent5" w:themeShade="BF"/>
          <w:sz w:val="28"/>
          <w:szCs w:val="28"/>
        </w:rPr>
        <w:t>知名展商</w:t>
      </w:r>
    </w:p>
    <w:p>
      <w:pPr>
        <w:spacing w:line="320" w:lineRule="exact"/>
        <w:ind w:firstLine="420" w:firstLineChars="200"/>
        <w:rPr>
          <w:color w:val="000000"/>
          <w:szCs w:val="21"/>
          <w:shd w:val="clear" w:color="auto" w:fill="FFFFFF"/>
        </w:rPr>
      </w:pPr>
      <w:r>
        <w:rPr>
          <w:rFonts w:hint="eastAsia"/>
          <w:color w:val="000000"/>
          <w:szCs w:val="21"/>
          <w:shd w:val="clear" w:color="auto" w:fill="FFFFFF"/>
        </w:rPr>
        <w:t>村田、中集、田科陆、林德、永恒力、科朗、小松、伟轮、现代、合力、杭叉、比亚迪、夏工、龙工、友高三铃工机、巴鲁夫、ABB、Fanuc、快仓、永创智能、深蓝等</w:t>
      </w:r>
    </w:p>
    <w:p>
      <w:pPr>
        <w:spacing w:line="320" w:lineRule="exact"/>
        <w:rPr>
          <w:color w:val="000000"/>
          <w:szCs w:val="21"/>
          <w:shd w:val="clear" w:color="auto" w:fill="FFFFFF"/>
        </w:rPr>
      </w:pPr>
    </w:p>
    <w:p>
      <w:pPr>
        <w:spacing w:line="320" w:lineRule="exact"/>
        <w:rPr>
          <w:b/>
          <w:color w:val="2F5597" w:themeColor="accent5" w:themeShade="BF"/>
          <w:sz w:val="28"/>
          <w:szCs w:val="28"/>
        </w:rPr>
      </w:pPr>
      <w:r>
        <w:rPr>
          <w:rFonts w:hint="eastAsia"/>
          <w:b/>
          <w:color w:val="2F5597" w:themeColor="accent5" w:themeShade="BF"/>
          <w:sz w:val="28"/>
          <w:szCs w:val="28"/>
        </w:rPr>
        <w:t>观众领域分布</w:t>
      </w:r>
    </w:p>
    <w:p>
      <w:pPr>
        <w:spacing w:line="320" w:lineRule="exact"/>
        <w:rPr>
          <w:color w:val="000000"/>
          <w:szCs w:val="21"/>
          <w:shd w:val="clear" w:color="auto" w:fill="FFFFFF"/>
        </w:rPr>
      </w:pPr>
      <w:r>
        <w:rPr>
          <w:color w:val="000000"/>
          <w:szCs w:val="21"/>
          <w:shd w:val="clear" w:color="auto" w:fill="FFFFFF"/>
        </w:rPr>
        <w:t>物流、电商、渠道、智能家居、物业、商场、宾馆、餐饮、娱乐、烟草、银行、机场、汽车制造、消防、公安 、海事局 、水库 、安防 、医疗机构 、教育部门 、学校、科研机构、科技馆 、交通部门 、电力部门 、通讯机构、名企参观团及服务机器人整机厂商等。</w:t>
      </w:r>
    </w:p>
    <w:p>
      <w:pPr>
        <w:spacing w:line="320" w:lineRule="exact"/>
        <w:rPr>
          <w:color w:val="000000"/>
          <w:szCs w:val="21"/>
          <w:shd w:val="clear" w:color="auto" w:fill="FFFFFF"/>
        </w:rPr>
      </w:pPr>
    </w:p>
    <w:p>
      <w:pPr>
        <w:spacing w:line="320" w:lineRule="exact"/>
        <w:rPr>
          <w:b/>
          <w:color w:val="2F5597" w:themeColor="accent5" w:themeShade="BF"/>
          <w:sz w:val="28"/>
          <w:szCs w:val="28"/>
        </w:rPr>
      </w:pPr>
      <w:r>
        <w:rPr>
          <w:rFonts w:hint="eastAsia"/>
          <w:b/>
          <w:color w:val="2F5597" w:themeColor="accent5" w:themeShade="BF"/>
          <w:sz w:val="28"/>
          <w:szCs w:val="28"/>
        </w:rPr>
        <w:t>展会亮点</w:t>
      </w:r>
    </w:p>
    <w:p>
      <w:pPr>
        <w:pStyle w:val="6"/>
        <w:numPr>
          <w:ilvl w:val="0"/>
          <w:numId w:val="1"/>
        </w:numPr>
        <w:spacing w:line="320" w:lineRule="exact"/>
        <w:ind w:firstLineChars="0"/>
        <w:rPr>
          <w:color w:val="000000"/>
          <w:szCs w:val="21"/>
          <w:shd w:val="clear" w:color="auto" w:fill="FFFFFF"/>
        </w:rPr>
      </w:pPr>
      <w:r>
        <w:rPr>
          <w:color w:val="000000"/>
          <w:szCs w:val="21"/>
          <w:shd w:val="clear" w:color="auto" w:fill="FFFFFF"/>
        </w:rPr>
        <w:t>中日韩工程技术大会</w:t>
      </w:r>
    </w:p>
    <w:p>
      <w:pPr>
        <w:pStyle w:val="6"/>
        <w:numPr>
          <w:ilvl w:val="0"/>
          <w:numId w:val="1"/>
        </w:numPr>
        <w:spacing w:line="320" w:lineRule="exact"/>
        <w:ind w:firstLineChars="0"/>
        <w:rPr>
          <w:color w:val="000000"/>
          <w:szCs w:val="21"/>
          <w:shd w:val="clear" w:color="auto" w:fill="FFFFFF"/>
        </w:rPr>
      </w:pPr>
      <w:r>
        <w:rPr>
          <w:rFonts w:hint="eastAsia"/>
          <w:color w:val="000000"/>
          <w:szCs w:val="21"/>
          <w:shd w:val="clear" w:color="auto" w:fill="FFFFFF"/>
        </w:rPr>
        <w:t>八大展区 智能融合</w:t>
      </w:r>
    </w:p>
    <w:p>
      <w:pPr>
        <w:pStyle w:val="6"/>
        <w:numPr>
          <w:ilvl w:val="0"/>
          <w:numId w:val="1"/>
        </w:numPr>
        <w:spacing w:line="320" w:lineRule="exact"/>
        <w:ind w:firstLineChars="0"/>
        <w:rPr>
          <w:color w:val="000000"/>
          <w:szCs w:val="21"/>
          <w:shd w:val="clear" w:color="auto" w:fill="FFFFFF"/>
        </w:rPr>
      </w:pPr>
      <w:r>
        <w:rPr>
          <w:color w:val="000000"/>
          <w:szCs w:val="21"/>
          <w:shd w:val="clear" w:color="auto" w:fill="FFFFFF"/>
        </w:rPr>
        <w:t>线上线下定位宣传</w:t>
      </w:r>
    </w:p>
    <w:p>
      <w:pPr>
        <w:pStyle w:val="6"/>
        <w:numPr>
          <w:ilvl w:val="0"/>
          <w:numId w:val="1"/>
        </w:numPr>
        <w:spacing w:line="320" w:lineRule="exact"/>
        <w:ind w:firstLineChars="0"/>
        <w:rPr>
          <w:color w:val="000000"/>
          <w:szCs w:val="21"/>
          <w:shd w:val="clear" w:color="auto" w:fill="FFFFFF"/>
        </w:rPr>
      </w:pPr>
      <w:r>
        <w:rPr>
          <w:color w:val="000000"/>
          <w:szCs w:val="21"/>
          <w:shd w:val="clear" w:color="auto" w:fill="FFFFFF"/>
        </w:rPr>
        <w:t>百万数据高效匹配</w:t>
      </w:r>
    </w:p>
    <w:p>
      <w:pPr>
        <w:pStyle w:val="6"/>
        <w:spacing w:line="320" w:lineRule="exact"/>
        <w:ind w:firstLine="0" w:firstLineChars="0"/>
        <w:rPr>
          <w:color w:val="000000"/>
          <w:szCs w:val="21"/>
          <w:shd w:val="clear" w:color="auto" w:fill="FFFFFF"/>
        </w:rPr>
      </w:pPr>
    </w:p>
    <w:p>
      <w:pPr>
        <w:spacing w:line="320" w:lineRule="exact"/>
        <w:rPr>
          <w:b/>
          <w:color w:val="2F5597" w:themeColor="accent5" w:themeShade="BF"/>
          <w:sz w:val="28"/>
          <w:szCs w:val="28"/>
        </w:rPr>
      </w:pPr>
      <w:r>
        <w:rPr>
          <w:rFonts w:hint="eastAsia"/>
          <w:b/>
          <w:color w:val="2F5597" w:themeColor="accent5" w:themeShade="BF"/>
          <w:sz w:val="28"/>
          <w:szCs w:val="28"/>
        </w:rPr>
        <w:t>展会特色与趋势</w:t>
      </w:r>
    </w:p>
    <w:p>
      <w:pPr>
        <w:spacing w:before="156" w:beforeLines="50" w:line="320" w:lineRule="exact"/>
        <w:rPr>
          <w:rFonts w:ascii="宋体" w:hAnsi="宋体" w:eastAsia="宋体" w:cs="Times New Roman"/>
          <w:b/>
          <w:bCs/>
        </w:rPr>
      </w:pPr>
      <w:r>
        <w:rPr>
          <w:rFonts w:hint="eastAsia" w:ascii="宋体" w:hAnsi="宋体" w:eastAsia="宋体" w:cs="微软雅黑"/>
          <w:b/>
          <w:bCs/>
        </w:rPr>
        <w:t>一次交费，一站式服务</w:t>
      </w:r>
    </w:p>
    <w:p>
      <w:pPr>
        <w:spacing w:line="320" w:lineRule="exact"/>
        <w:rPr>
          <w:color w:val="000000"/>
          <w:szCs w:val="21"/>
          <w:shd w:val="clear" w:color="auto" w:fill="FFFFFF"/>
        </w:rPr>
      </w:pPr>
      <w:r>
        <w:rPr>
          <w:rFonts w:hint="eastAsia"/>
          <w:color w:val="000000"/>
          <w:szCs w:val="21"/>
          <w:shd w:val="clear" w:color="auto" w:fill="FFFFFF"/>
        </w:rPr>
        <w:t>重点打造一站式服务平台，整合水、电、气及物流仓储等配套设施，以一站式服务理念为展商提供最便捷、最快速的平台体验。</w:t>
      </w:r>
    </w:p>
    <w:p>
      <w:pPr>
        <w:spacing w:before="156" w:beforeLines="50" w:line="320" w:lineRule="exact"/>
        <w:rPr>
          <w:rFonts w:ascii="宋体" w:hAnsi="宋体" w:eastAsia="宋体" w:cs="微软雅黑"/>
          <w:b/>
          <w:bCs/>
        </w:rPr>
      </w:pPr>
      <w:r>
        <w:rPr>
          <w:rFonts w:hint="eastAsia" w:ascii="宋体" w:hAnsi="宋体" w:eastAsia="宋体" w:cs="微软雅黑"/>
          <w:b/>
          <w:bCs/>
        </w:rPr>
        <w:t>发挥</w:t>
      </w:r>
      <w:r>
        <w:rPr>
          <w:rFonts w:ascii="宋体" w:hAnsi="宋体" w:eastAsia="宋体" w:cs="微软雅黑"/>
          <w:b/>
          <w:bCs/>
        </w:rPr>
        <w:t>青岛</w:t>
      </w:r>
      <w:r>
        <w:rPr>
          <w:rFonts w:hint="eastAsia" w:ascii="宋体" w:hAnsi="宋体" w:eastAsia="宋体" w:cs="微软雅黑"/>
          <w:b/>
          <w:bCs/>
        </w:rPr>
        <w:t>“三个优势” 打造经贸合作新平台</w:t>
      </w:r>
    </w:p>
    <w:p>
      <w:pPr>
        <w:spacing w:line="320" w:lineRule="exact"/>
        <w:rPr>
          <w:color w:val="000000"/>
          <w:szCs w:val="21"/>
          <w:shd w:val="clear" w:color="auto" w:fill="FFFFFF"/>
        </w:rPr>
      </w:pPr>
      <w:r>
        <w:rPr>
          <w:rFonts w:hint="eastAsia"/>
          <w:color w:val="000000"/>
          <w:szCs w:val="21"/>
          <w:shd w:val="clear" w:color="auto" w:fill="FFFFFF"/>
        </w:rPr>
        <w:t>青岛具有独特的区位、物流、产业优势，为深化上合组织国家地方经贸合作搭建新平台提供了坚实的基础。当今青岛已站在了中国新一轮高水平开放的最前沿。上合示范区正充分发挥其在青岛口岸海陆空铁综合交通网络中心的区位优势，统筹海港、陆港、空港、铁路联运功能，更好发挥青岛在“一带一路”新亚欧大陆桥经济走廊建设和海上合作中的作用，通过建设区域物流中心、现代贸易中心、双向投资合作中心和商旅文交流发展中心，打造上合组织国家面向亚太市场的“出海口”，形成与上合组织国家相关城市交流合作集聚的示范区。</w:t>
      </w:r>
    </w:p>
    <w:p>
      <w:pPr>
        <w:spacing w:before="156" w:beforeLines="50" w:line="320" w:lineRule="exact"/>
        <w:rPr>
          <w:rFonts w:ascii="宋体" w:hAnsi="宋体" w:eastAsia="宋体" w:cs="Times New Roman"/>
          <w:b/>
          <w:bCs/>
        </w:rPr>
      </w:pPr>
      <w:r>
        <w:rPr>
          <w:rFonts w:hint="eastAsia" w:ascii="宋体" w:hAnsi="宋体" w:eastAsia="宋体" w:cs="微软雅黑"/>
          <w:b/>
          <w:bCs/>
        </w:rPr>
        <w:t>专业买家一对一精准配对服务，匹配供需高效成交</w:t>
      </w:r>
    </w:p>
    <w:p>
      <w:pPr>
        <w:spacing w:line="320" w:lineRule="exact"/>
        <w:rPr>
          <w:rFonts w:hint="eastAsia"/>
          <w:color w:val="000000"/>
          <w:szCs w:val="21"/>
          <w:shd w:val="clear" w:color="auto" w:fill="FFFFFF"/>
        </w:rPr>
      </w:pPr>
      <w:r>
        <w:rPr>
          <w:rFonts w:hint="eastAsia"/>
          <w:color w:val="000000"/>
          <w:szCs w:val="21"/>
          <w:shd w:val="clear" w:color="auto" w:fill="FFFFFF"/>
        </w:rPr>
        <w:t>零距离接触亚太</w:t>
      </w:r>
      <w:r>
        <w:rPr>
          <w:color w:val="000000"/>
          <w:szCs w:val="21"/>
          <w:shd w:val="clear" w:color="auto" w:fill="FFFFFF"/>
        </w:rPr>
        <w:t>20</w:t>
      </w:r>
      <w:r>
        <w:rPr>
          <w:rFonts w:hint="eastAsia"/>
          <w:color w:val="000000"/>
          <w:szCs w:val="21"/>
          <w:shd w:val="clear" w:color="auto" w:fill="FFFFFF"/>
        </w:rPr>
        <w:t>多个国家和地区，来自物流、电商、汽车、制造业、航空、电力、烟草、医药、食品饮料、机械、石油、化工、纺织、船舶、日用品、零售快消品、家居、军工等领域的決策层、技术领导和市场研究专家近20万专业观众，挖掘巨大潜在商机。并以全方位“多角度匹配”为供需双方构建一体化高效贸易平台，迸发共享合作新机遇。</w:t>
      </w:r>
    </w:p>
    <w:p>
      <w:pPr>
        <w:spacing w:line="320" w:lineRule="exact"/>
        <w:rPr>
          <w:b/>
          <w:color w:val="2F5597" w:themeColor="accent5" w:themeShade="BF"/>
          <w:sz w:val="28"/>
          <w:szCs w:val="28"/>
        </w:rPr>
      </w:pPr>
      <w:r>
        <w:rPr>
          <w:rFonts w:hint="eastAsia"/>
          <w:b/>
          <w:color w:val="2F5597" w:themeColor="accent5" w:themeShade="BF"/>
          <w:sz w:val="28"/>
          <w:szCs w:val="28"/>
        </w:rPr>
        <w:t>展位价格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3908"/>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spacing w:line="320" w:lineRule="exact"/>
            </w:pPr>
            <w:r>
              <w:rPr>
                <w:rFonts w:hint="eastAsia"/>
              </w:rPr>
              <w:t>展位类别</w:t>
            </w:r>
          </w:p>
        </w:tc>
        <w:tc>
          <w:tcPr>
            <w:tcW w:w="3908" w:type="dxa"/>
          </w:tcPr>
          <w:p>
            <w:pPr>
              <w:spacing w:line="320" w:lineRule="exact"/>
              <w:jc w:val="center"/>
            </w:pPr>
            <w:r>
              <w:rPr>
                <w:rFonts w:hint="eastAsia"/>
              </w:rPr>
              <w:t>标准展位（3*3/9㎡）双开口加收10%</w:t>
            </w:r>
          </w:p>
        </w:tc>
        <w:tc>
          <w:tcPr>
            <w:tcW w:w="3518" w:type="dxa"/>
          </w:tcPr>
          <w:p>
            <w:pPr>
              <w:spacing w:line="320" w:lineRule="exact"/>
            </w:pPr>
            <w:r>
              <w:rPr>
                <w:rFonts w:hint="eastAsia"/>
              </w:rPr>
              <w:t>室内空地（18㎡）不含场地管理费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spacing w:line="320" w:lineRule="exact"/>
            </w:pPr>
            <w:r>
              <w:rPr>
                <w:rFonts w:hint="eastAsia"/>
              </w:rPr>
              <w:t>国内企业</w:t>
            </w:r>
          </w:p>
        </w:tc>
        <w:tc>
          <w:tcPr>
            <w:tcW w:w="3908" w:type="dxa"/>
          </w:tcPr>
          <w:p>
            <w:pPr>
              <w:spacing w:line="320" w:lineRule="exact"/>
              <w:jc w:val="center"/>
            </w:pPr>
            <w:r>
              <w:rPr>
                <w:rFonts w:hint="eastAsia"/>
              </w:rPr>
              <w:t>RMB12000/9㎡</w:t>
            </w:r>
          </w:p>
        </w:tc>
        <w:tc>
          <w:tcPr>
            <w:tcW w:w="3518" w:type="dxa"/>
          </w:tcPr>
          <w:p>
            <w:pPr>
              <w:spacing w:line="320" w:lineRule="exact"/>
              <w:jc w:val="center"/>
            </w:pPr>
            <w:r>
              <w:rPr>
                <w:rFonts w:hint="eastAsia"/>
              </w:rPr>
              <w:t>RMB1200/㎡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spacing w:line="320" w:lineRule="exact"/>
            </w:pPr>
            <w:r>
              <w:rPr>
                <w:rFonts w:hint="eastAsia"/>
              </w:rPr>
              <w:t>国外企业</w:t>
            </w:r>
          </w:p>
        </w:tc>
        <w:tc>
          <w:tcPr>
            <w:tcW w:w="3908" w:type="dxa"/>
          </w:tcPr>
          <w:p>
            <w:pPr>
              <w:spacing w:line="320" w:lineRule="exact"/>
              <w:jc w:val="center"/>
            </w:pPr>
            <w:r>
              <w:rPr>
                <w:rFonts w:hint="eastAsia"/>
              </w:rPr>
              <w:t>USD2000/9㎡</w:t>
            </w:r>
          </w:p>
        </w:tc>
        <w:tc>
          <w:tcPr>
            <w:tcW w:w="3518" w:type="dxa"/>
          </w:tcPr>
          <w:p>
            <w:pPr>
              <w:spacing w:line="320" w:lineRule="exact"/>
              <w:jc w:val="center"/>
            </w:pPr>
            <w:r>
              <w:rPr>
                <w:rFonts w:hint="eastAsia"/>
              </w:rPr>
              <w:t>USD200/㎡</w:t>
            </w:r>
          </w:p>
        </w:tc>
      </w:tr>
    </w:tbl>
    <w:p>
      <w:pPr>
        <w:spacing w:line="320" w:lineRule="exact"/>
        <w:rPr>
          <w:b/>
          <w:color w:val="2F5597" w:themeColor="accent5" w:themeShade="BF"/>
          <w:sz w:val="28"/>
          <w:szCs w:val="28"/>
        </w:rPr>
      </w:pPr>
      <w:r>
        <w:rPr>
          <w:rFonts w:hint="eastAsia"/>
          <w:b/>
          <w:color w:val="2F5597" w:themeColor="accent5" w:themeShade="BF"/>
          <w:sz w:val="28"/>
          <w:szCs w:val="28"/>
        </w:rPr>
        <w:t>买家手册、会刊及展场广告</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605"/>
        <w:gridCol w:w="1559"/>
        <w:gridCol w:w="1126"/>
        <w:gridCol w:w="130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spacing w:line="320" w:lineRule="exact"/>
            </w:pPr>
            <w:r>
              <w:rPr>
                <w:rFonts w:hint="eastAsia"/>
              </w:rPr>
              <w:t>封面</w:t>
            </w:r>
          </w:p>
        </w:tc>
        <w:tc>
          <w:tcPr>
            <w:tcW w:w="1605" w:type="dxa"/>
          </w:tcPr>
          <w:p>
            <w:pPr>
              <w:spacing w:line="320" w:lineRule="exact"/>
            </w:pPr>
            <w:r>
              <w:rPr>
                <w:rFonts w:hint="eastAsia"/>
              </w:rPr>
              <w:t>20000元</w:t>
            </w:r>
          </w:p>
        </w:tc>
        <w:tc>
          <w:tcPr>
            <w:tcW w:w="1559" w:type="dxa"/>
          </w:tcPr>
          <w:p>
            <w:pPr>
              <w:spacing w:line="320" w:lineRule="exact"/>
            </w:pPr>
            <w:r>
              <w:rPr>
                <w:rFonts w:hint="eastAsia"/>
              </w:rPr>
              <w:t>扉页</w:t>
            </w:r>
          </w:p>
        </w:tc>
        <w:tc>
          <w:tcPr>
            <w:tcW w:w="1126" w:type="dxa"/>
          </w:tcPr>
          <w:p>
            <w:pPr>
              <w:spacing w:line="320" w:lineRule="exact"/>
            </w:pPr>
            <w:r>
              <w:rPr>
                <w:rFonts w:hint="eastAsia"/>
              </w:rPr>
              <w:t>10000元</w:t>
            </w:r>
          </w:p>
        </w:tc>
        <w:tc>
          <w:tcPr>
            <w:tcW w:w="1305" w:type="dxa"/>
          </w:tcPr>
          <w:p>
            <w:pPr>
              <w:spacing w:line="320" w:lineRule="exact"/>
            </w:pPr>
            <w:r>
              <w:rPr>
                <w:rFonts w:hint="eastAsia"/>
              </w:rPr>
              <w:t>手提袋</w:t>
            </w:r>
          </w:p>
        </w:tc>
        <w:tc>
          <w:tcPr>
            <w:tcW w:w="1831" w:type="dxa"/>
          </w:tcPr>
          <w:p>
            <w:pPr>
              <w:spacing w:line="320" w:lineRule="exact"/>
            </w:pPr>
            <w:r>
              <w:rPr>
                <w:rFonts w:hint="eastAsia"/>
              </w:rPr>
              <w:t>8000元/2000个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spacing w:line="320" w:lineRule="exact"/>
            </w:pPr>
            <w:r>
              <w:rPr>
                <w:rFonts w:hint="eastAsia"/>
              </w:rPr>
              <w:t>彩色内页</w:t>
            </w:r>
          </w:p>
        </w:tc>
        <w:tc>
          <w:tcPr>
            <w:tcW w:w="1605" w:type="dxa"/>
          </w:tcPr>
          <w:p>
            <w:pPr>
              <w:spacing w:line="320" w:lineRule="exact"/>
            </w:pPr>
            <w:r>
              <w:rPr>
                <w:rFonts w:hint="eastAsia"/>
              </w:rPr>
              <w:t>5000元</w:t>
            </w:r>
          </w:p>
        </w:tc>
        <w:tc>
          <w:tcPr>
            <w:tcW w:w="1559" w:type="dxa"/>
          </w:tcPr>
          <w:p>
            <w:pPr>
              <w:spacing w:line="320" w:lineRule="exact"/>
            </w:pPr>
            <w:r>
              <w:rPr>
                <w:rFonts w:hint="eastAsia"/>
              </w:rPr>
              <w:t>封二、封三</w:t>
            </w:r>
          </w:p>
        </w:tc>
        <w:tc>
          <w:tcPr>
            <w:tcW w:w="1126" w:type="dxa"/>
          </w:tcPr>
          <w:p>
            <w:pPr>
              <w:spacing w:line="320" w:lineRule="exact"/>
            </w:pPr>
            <w:r>
              <w:rPr>
                <w:rFonts w:hint="eastAsia"/>
              </w:rPr>
              <w:t>8000元</w:t>
            </w:r>
          </w:p>
        </w:tc>
        <w:tc>
          <w:tcPr>
            <w:tcW w:w="1305" w:type="dxa"/>
          </w:tcPr>
          <w:p>
            <w:pPr>
              <w:spacing w:line="320" w:lineRule="exact"/>
            </w:pPr>
            <w:r>
              <w:rPr>
                <w:rFonts w:hint="eastAsia"/>
              </w:rPr>
              <w:t>门票</w:t>
            </w:r>
          </w:p>
        </w:tc>
        <w:tc>
          <w:tcPr>
            <w:tcW w:w="1831" w:type="dxa"/>
          </w:tcPr>
          <w:p>
            <w:pPr>
              <w:spacing w:line="320" w:lineRule="exact"/>
            </w:pPr>
            <w:r>
              <w:rPr>
                <w:rFonts w:hint="eastAsia"/>
              </w:rPr>
              <w:t>8000元/3万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spacing w:line="320" w:lineRule="exact"/>
            </w:pPr>
            <w:r>
              <w:rPr>
                <w:rFonts w:hint="eastAsia"/>
              </w:rPr>
              <w:t>桁架</w:t>
            </w:r>
          </w:p>
        </w:tc>
        <w:tc>
          <w:tcPr>
            <w:tcW w:w="1605" w:type="dxa"/>
          </w:tcPr>
          <w:p>
            <w:pPr>
              <w:spacing w:line="320" w:lineRule="exact"/>
            </w:pPr>
            <w:r>
              <w:rPr>
                <w:rFonts w:hint="eastAsia"/>
              </w:rPr>
              <w:t>10000元/幅</w:t>
            </w:r>
          </w:p>
        </w:tc>
        <w:tc>
          <w:tcPr>
            <w:tcW w:w="1559" w:type="dxa"/>
          </w:tcPr>
          <w:p>
            <w:pPr>
              <w:spacing w:line="320" w:lineRule="exact"/>
            </w:pPr>
            <w:r>
              <w:rPr>
                <w:rFonts w:hint="eastAsia"/>
              </w:rPr>
              <w:t>封底</w:t>
            </w:r>
          </w:p>
        </w:tc>
        <w:tc>
          <w:tcPr>
            <w:tcW w:w="1126" w:type="dxa"/>
          </w:tcPr>
          <w:p>
            <w:pPr>
              <w:spacing w:line="320" w:lineRule="exact"/>
            </w:pPr>
            <w:r>
              <w:rPr>
                <w:rFonts w:hint="eastAsia"/>
              </w:rPr>
              <w:t>15000元</w:t>
            </w:r>
          </w:p>
        </w:tc>
        <w:tc>
          <w:tcPr>
            <w:tcW w:w="1305" w:type="dxa"/>
          </w:tcPr>
          <w:p>
            <w:pPr>
              <w:spacing w:line="320" w:lineRule="exact"/>
            </w:pPr>
            <w:r>
              <w:rPr>
                <w:rFonts w:hint="eastAsia"/>
              </w:rPr>
              <w:t>观众请柬</w:t>
            </w:r>
          </w:p>
        </w:tc>
        <w:tc>
          <w:tcPr>
            <w:tcW w:w="1831" w:type="dxa"/>
          </w:tcPr>
          <w:p>
            <w:pPr>
              <w:spacing w:line="320" w:lineRule="exact"/>
            </w:pPr>
            <w:r>
              <w:rPr>
                <w:rFonts w:hint="eastAsia"/>
              </w:rPr>
              <w:t>5000元/1000个</w:t>
            </w:r>
          </w:p>
        </w:tc>
      </w:tr>
    </w:tbl>
    <w:p>
      <w:pPr>
        <w:spacing w:line="320" w:lineRule="exact"/>
      </w:pPr>
      <w:r>
        <w:rPr>
          <w:rFonts w:hint="eastAsia"/>
        </w:rPr>
        <w:t>论坛讲座：提供场地、灯光、座椅、茶水、音响、白板及投影仪等，10000元/场</w:t>
      </w:r>
    </w:p>
    <w:p>
      <w:pPr>
        <w:spacing w:line="320" w:lineRule="exact"/>
        <w:rPr>
          <w:b/>
          <w:color w:val="2F5597" w:themeColor="accent5" w:themeShade="BF"/>
          <w:sz w:val="28"/>
          <w:szCs w:val="28"/>
        </w:rPr>
      </w:pPr>
      <w:r>
        <w:drawing>
          <wp:anchor distT="0" distB="0" distL="114300" distR="114300" simplePos="0" relativeHeight="251659264" behindDoc="0" locked="0" layoutInCell="1" allowOverlap="1">
            <wp:simplePos x="0" y="0"/>
            <wp:positionH relativeFrom="column">
              <wp:posOffset>3937000</wp:posOffset>
            </wp:positionH>
            <wp:positionV relativeFrom="paragraph">
              <wp:posOffset>98425</wp:posOffset>
            </wp:positionV>
            <wp:extent cx="1050925" cy="10509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625" cy="1050625"/>
                    </a:xfrm>
                    <a:prstGeom prst="rect">
                      <a:avLst/>
                    </a:prstGeom>
                  </pic:spPr>
                </pic:pic>
              </a:graphicData>
            </a:graphic>
          </wp:anchor>
        </w:drawing>
      </w:r>
      <w:r>
        <w:rPr>
          <w:rFonts w:hint="eastAsia"/>
          <w:b/>
          <w:color w:val="2F5597" w:themeColor="accent5" w:themeShade="BF"/>
          <w:sz w:val="28"/>
          <w:szCs w:val="28"/>
        </w:rPr>
        <w:t>联系方式</w:t>
      </w:r>
    </w:p>
    <w:p>
      <w:pPr>
        <w:spacing w:line="320" w:lineRule="exact"/>
      </w:pPr>
      <w:r>
        <w:rPr>
          <w:rFonts w:hint="eastAsia"/>
        </w:rPr>
        <w:t xml:space="preserve">青岛金诺国际会展有限公司 </w:t>
      </w:r>
      <w:r>
        <w:t xml:space="preserve">                           </w:t>
      </w:r>
    </w:p>
    <w:p>
      <w:pPr>
        <w:spacing w:line="320" w:lineRule="exact"/>
      </w:pPr>
      <w:r>
        <w:rPr>
          <w:rFonts w:hint="eastAsia"/>
        </w:rPr>
        <w:t>地址：青岛市市南区福州南路8</w:t>
      </w:r>
      <w:r>
        <w:t>7</w:t>
      </w:r>
      <w:r>
        <w:rPr>
          <w:rFonts w:hint="eastAsia"/>
        </w:rPr>
        <w:t>号福林大厦A座9</w:t>
      </w:r>
      <w:r>
        <w:t>02</w:t>
      </w:r>
    </w:p>
    <w:p>
      <w:pPr>
        <w:spacing w:line="320" w:lineRule="exact"/>
      </w:pPr>
      <w:r>
        <w:rPr>
          <w:rFonts w:hint="eastAsia"/>
        </w:rPr>
        <w:t xml:space="preserve">联系人 ：于杰 </w:t>
      </w:r>
      <w:r>
        <w:t xml:space="preserve">            </w:t>
      </w:r>
      <w:r>
        <w:rPr>
          <w:rFonts w:hint="eastAsia"/>
        </w:rPr>
        <w:t>电话：1</w:t>
      </w:r>
      <w:r>
        <w:t>86</w:t>
      </w:r>
      <w:r>
        <w:rPr>
          <w:rFonts w:hint="eastAsia"/>
        </w:rPr>
        <w:t>-</w:t>
      </w:r>
      <w:r>
        <w:t>6061</w:t>
      </w:r>
      <w:r>
        <w:rPr>
          <w:rFonts w:hint="eastAsia"/>
        </w:rPr>
        <w:t>-</w:t>
      </w:r>
      <w:r>
        <w:t>0043</w:t>
      </w:r>
    </w:p>
    <w:p>
      <w:pPr>
        <w:spacing w:line="320" w:lineRule="exact"/>
        <w:rPr>
          <w:rFonts w:hint="eastAsia"/>
        </w:rPr>
      </w:pPr>
      <w:r>
        <w:rPr>
          <w:rFonts w:hint="eastAsia"/>
        </w:rPr>
        <w:t xml:space="preserve">邮 </w:t>
      </w:r>
      <w:r>
        <w:t xml:space="preserve">  </w:t>
      </w:r>
      <w:r>
        <w:rPr>
          <w:rFonts w:hint="eastAsia"/>
        </w:rPr>
        <w:t>箱：1</w:t>
      </w:r>
      <w:r>
        <w:t>424780774</w:t>
      </w:r>
      <w:r>
        <w:rPr>
          <w:rFonts w:hint="eastAsia"/>
        </w:rPr>
        <w:t>@QQ.com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8BF"/>
    <w:multiLevelType w:val="multilevel"/>
    <w:tmpl w:val="054018B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77"/>
    <w:rsid w:val="001409AB"/>
    <w:rsid w:val="002A0E3E"/>
    <w:rsid w:val="002E1ABA"/>
    <w:rsid w:val="00331F50"/>
    <w:rsid w:val="003D57D5"/>
    <w:rsid w:val="00465B77"/>
    <w:rsid w:val="006C34FD"/>
    <w:rsid w:val="008E2720"/>
    <w:rsid w:val="009E6D39"/>
    <w:rsid w:val="00AE752F"/>
    <w:rsid w:val="00DA3C0A"/>
    <w:rsid w:val="00DF6F88"/>
    <w:rsid w:val="00EF1964"/>
    <w:rsid w:val="00FC4858"/>
    <w:rsid w:val="117A4B13"/>
    <w:rsid w:val="17DE7D10"/>
    <w:rsid w:val="2F026C38"/>
    <w:rsid w:val="3DDF7A2E"/>
    <w:rsid w:val="3EF05F3F"/>
    <w:rsid w:val="50CC5477"/>
    <w:rsid w:val="6759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22"/>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302</Words>
  <Characters>1724</Characters>
  <Lines>14</Lines>
  <Paragraphs>4</Paragraphs>
  <TotalTime>1</TotalTime>
  <ScaleCrop>false</ScaleCrop>
  <LinksUpToDate>false</LinksUpToDate>
  <CharactersWithSpaces>2022</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2020-01-14T08:30:00Z</dcterms:created>
  <dc:creator>Administrator</dc:creator>
  <cp:lastModifiedBy>Administrator</cp:lastModifiedBy>
  <dcterms:modified xsi:type="dcterms:W3CDTF">2020-03-26T05:12:33Z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