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微软雅黑" w:hAnsi="微软雅黑" w:eastAsia="微软雅黑" w:cstheme="minorEastAsia"/>
          <w:b/>
          <w:bCs/>
          <w:color w:val="000000" w:themeColor="text1"/>
          <w:sz w:val="48"/>
          <w:szCs w:val="48"/>
          <w14:textFill>
            <w14:solidFill>
              <w14:schemeClr w14:val="tx1"/>
            </w14:solidFill>
          </w14:textFill>
        </w:rPr>
      </w:pPr>
      <w:bookmarkStart w:id="0" w:name="_Hlk489260599"/>
      <w:r>
        <w:rPr>
          <w:rFonts w:hint="eastAsia" w:ascii="微软雅黑" w:hAnsi="微软雅黑" w:eastAsia="微软雅黑" w:cstheme="minorEastAsia"/>
          <w:b/>
          <w:bCs/>
          <w:color w:val="000000" w:themeColor="text1"/>
          <w:sz w:val="48"/>
          <w:szCs w:val="48"/>
          <w14:textFill>
            <w14:solidFill>
              <w14:schemeClr w14:val="tx1"/>
            </w14:solidFill>
          </w14:textFill>
        </w:rPr>
        <w:t>第二十届成都建筑及装饰材料博览会</w:t>
      </w:r>
    </w:p>
    <w:p>
      <w:pPr>
        <w:adjustRightInd w:val="0"/>
        <w:spacing w:line="700" w:lineRule="exact"/>
        <w:jc w:val="center"/>
        <w:rPr>
          <w:rFonts w:ascii="微软雅黑" w:hAnsi="微软雅黑" w:eastAsia="微软雅黑" w:cstheme="minorEastAsia"/>
          <w:b/>
          <w:bCs/>
          <w:color w:val="000000" w:themeColor="text1"/>
          <w:sz w:val="44"/>
          <w:szCs w:val="44"/>
          <w14:textFill>
            <w14:solidFill>
              <w14:schemeClr w14:val="tx1"/>
            </w14:solidFill>
          </w14:textFill>
        </w:rPr>
      </w:pPr>
      <w:r>
        <w:rPr>
          <w:rFonts w:hint="eastAsia" w:ascii="微软雅黑" w:hAnsi="微软雅黑" w:eastAsia="微软雅黑" w:cstheme="minorEastAsia"/>
          <w:b/>
          <w:bCs/>
          <w:color w:val="000000" w:themeColor="text1"/>
          <w:sz w:val="44"/>
          <w:szCs w:val="44"/>
          <w14:textFill>
            <w14:solidFill>
              <w14:schemeClr w14:val="tx1"/>
            </w14:solidFill>
          </w14:textFill>
        </w:rPr>
        <w:t>参展邀请函</w:t>
      </w:r>
    </w:p>
    <w:p>
      <w:pPr>
        <w:spacing w:line="700" w:lineRule="exact"/>
        <w:jc w:val="center"/>
        <w:rPr>
          <w:rFonts w:ascii="微软雅黑" w:hAnsi="微软雅黑" w:eastAsia="微软雅黑" w:cstheme="minorEastAsia"/>
          <w:b/>
          <w:bCs/>
          <w:color w:val="000000" w:themeColor="text1"/>
          <w:sz w:val="30"/>
          <w:szCs w:val="30"/>
          <w14:textFill>
            <w14:solidFill>
              <w14:schemeClr w14:val="tx1"/>
            </w14:solidFill>
          </w14:textFill>
        </w:rPr>
      </w:pPr>
      <w:r>
        <w:rPr>
          <w:rFonts w:hint="eastAsia" w:ascii="微软雅黑" w:hAnsi="微软雅黑" w:eastAsia="微软雅黑" w:cstheme="minorEastAsia"/>
          <w:b/>
          <w:bCs/>
          <w:color w:val="000000" w:themeColor="text1"/>
          <w:sz w:val="30"/>
          <w:szCs w:val="30"/>
          <w14:textFill>
            <w14:solidFill>
              <w14:schemeClr w14:val="tx1"/>
            </w14:solidFill>
          </w14:textFill>
        </w:rPr>
        <w:t>20</w:t>
      </w:r>
      <w:r>
        <w:rPr>
          <w:rFonts w:ascii="微软雅黑" w:hAnsi="微软雅黑" w:eastAsia="微软雅黑" w:cstheme="minorEastAsia"/>
          <w:b/>
          <w:bCs/>
          <w:color w:val="000000" w:themeColor="text1"/>
          <w:sz w:val="30"/>
          <w:szCs w:val="30"/>
          <w14:textFill>
            <w14:solidFill>
              <w14:schemeClr w14:val="tx1"/>
            </w14:solidFill>
          </w14:textFill>
        </w:rPr>
        <w:t>20</w:t>
      </w:r>
      <w:r>
        <w:rPr>
          <w:rFonts w:hint="eastAsia" w:ascii="微软雅黑" w:hAnsi="微软雅黑" w:eastAsia="微软雅黑" w:cstheme="minorEastAsia"/>
          <w:b/>
          <w:bCs/>
          <w:color w:val="000000" w:themeColor="text1"/>
          <w:sz w:val="30"/>
          <w:szCs w:val="30"/>
          <w14:textFill>
            <w14:solidFill>
              <w14:schemeClr w14:val="tx1"/>
            </w14:solidFill>
          </w14:textFill>
        </w:rPr>
        <w:t>年</w:t>
      </w:r>
      <w:r>
        <w:rPr>
          <w:rFonts w:ascii="微软雅黑" w:hAnsi="微软雅黑" w:eastAsia="微软雅黑" w:cstheme="minorEastAsia"/>
          <w:b/>
          <w:bCs/>
          <w:color w:val="000000" w:themeColor="text1"/>
          <w:sz w:val="30"/>
          <w:szCs w:val="30"/>
          <w14:textFill>
            <w14:solidFill>
              <w14:schemeClr w14:val="tx1"/>
            </w14:solidFill>
          </w14:textFill>
        </w:rPr>
        <w:t>8</w:t>
      </w:r>
      <w:r>
        <w:rPr>
          <w:rFonts w:hint="eastAsia" w:ascii="微软雅黑" w:hAnsi="微软雅黑" w:eastAsia="微软雅黑" w:cstheme="minorEastAsia"/>
          <w:b/>
          <w:bCs/>
          <w:color w:val="000000" w:themeColor="text1"/>
          <w:sz w:val="30"/>
          <w:szCs w:val="30"/>
          <w14:textFill>
            <w14:solidFill>
              <w14:schemeClr w14:val="tx1"/>
            </w14:solidFill>
          </w14:textFill>
        </w:rPr>
        <w:t>月</w:t>
      </w:r>
      <w:r>
        <w:rPr>
          <w:rFonts w:ascii="微软雅黑" w:hAnsi="微软雅黑" w:eastAsia="微软雅黑" w:cstheme="minorEastAsia"/>
          <w:b/>
          <w:bCs/>
          <w:color w:val="000000" w:themeColor="text1"/>
          <w:sz w:val="30"/>
          <w:szCs w:val="30"/>
          <w14:textFill>
            <w14:solidFill>
              <w14:schemeClr w14:val="tx1"/>
            </w14:solidFill>
          </w14:textFill>
        </w:rPr>
        <w:t>20</w:t>
      </w:r>
      <w:r>
        <w:rPr>
          <w:rFonts w:hint="eastAsia" w:ascii="微软雅黑" w:hAnsi="微软雅黑" w:eastAsia="微软雅黑" w:cstheme="minorEastAsia"/>
          <w:b/>
          <w:bCs/>
          <w:color w:val="000000" w:themeColor="text1"/>
          <w:sz w:val="30"/>
          <w:szCs w:val="30"/>
          <w14:textFill>
            <w14:solidFill>
              <w14:schemeClr w14:val="tx1"/>
            </w14:solidFill>
          </w14:textFill>
        </w:rPr>
        <w:t>—</w:t>
      </w:r>
      <w:r>
        <w:rPr>
          <w:rFonts w:ascii="微软雅黑" w:hAnsi="微软雅黑" w:eastAsia="微软雅黑" w:cstheme="minorEastAsia"/>
          <w:b/>
          <w:bCs/>
          <w:color w:val="000000" w:themeColor="text1"/>
          <w:sz w:val="30"/>
          <w:szCs w:val="30"/>
          <w14:textFill>
            <w14:solidFill>
              <w14:schemeClr w14:val="tx1"/>
            </w14:solidFill>
          </w14:textFill>
        </w:rPr>
        <w:t>22</w:t>
      </w:r>
      <w:r>
        <w:rPr>
          <w:rFonts w:hint="eastAsia" w:ascii="微软雅黑" w:hAnsi="微软雅黑" w:eastAsia="微软雅黑" w:cstheme="minorEastAsia"/>
          <w:b/>
          <w:bCs/>
          <w:color w:val="000000" w:themeColor="text1"/>
          <w:sz w:val="30"/>
          <w:szCs w:val="30"/>
          <w14:textFill>
            <w14:solidFill>
              <w14:schemeClr w14:val="tx1"/>
            </w14:solidFill>
          </w14:textFill>
        </w:rPr>
        <w:t>日   中国西部国际博览城</w:t>
      </w:r>
      <w:bookmarkEnd w:id="0"/>
      <w:bookmarkStart w:id="1" w:name="OLE_LINK1"/>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bookmarkStart w:id="2" w:name="OLE_LINK3"/>
      <w:bookmarkStart w:id="3" w:name="OLE_LINK2"/>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r>
        <w:rPr>
          <w:rFonts w:hint="eastAsia" w:ascii="微软雅黑" w:hAnsi="微软雅黑" w:eastAsia="微软雅黑" w:cstheme="minorEastAsia"/>
          <w:b/>
          <w:color w:val="000000" w:themeColor="text1"/>
          <w:sz w:val="28"/>
          <w:szCs w:val="28"/>
          <w14:textFill>
            <w14:solidFill>
              <w14:schemeClr w14:val="tx1"/>
            </w14:solidFill>
          </w14:textFill>
        </w:rPr>
        <w:t>主办单位：</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sectPr>
          <w:headerReference r:id="rId3" w:type="default"/>
          <w:footerReference r:id="rId4" w:type="default"/>
          <w:pgSz w:w="11906" w:h="16838"/>
          <w:pgMar w:top="1440" w:right="1080" w:bottom="1440" w:left="1080" w:header="567" w:footer="794" w:gutter="0"/>
          <w:cols w:space="425" w:num="1"/>
          <w:docGrid w:type="lines" w:linePitch="312" w:charSpace="0"/>
        </w:sectPr>
      </w:pP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英富曼Informa</w:t>
      </w:r>
      <w:r>
        <w:rPr>
          <w:rFonts w:ascii="微软雅黑" w:hAnsi="微软雅黑" w:eastAsia="微软雅黑" w:cstheme="minorEastAsia"/>
          <w:color w:val="000000" w:themeColor="text1"/>
          <w:szCs w:val="21"/>
          <w14:textFill>
            <w14:solidFill>
              <w14:schemeClr w14:val="tx1"/>
            </w14:solidFill>
          </w14:textFill>
        </w:rPr>
        <w:t xml:space="preserve"> </w:t>
      </w:r>
      <w:r>
        <w:rPr>
          <w:rFonts w:hint="eastAsia" w:ascii="微软雅黑" w:hAnsi="微软雅黑" w:eastAsia="微软雅黑" w:cstheme="minorEastAsia"/>
          <w:color w:val="000000" w:themeColor="text1"/>
          <w:szCs w:val="21"/>
          <w14:textFill>
            <w14:solidFill>
              <w14:schemeClr w14:val="tx1"/>
            </w14:solidFill>
          </w14:textFill>
        </w:rPr>
        <w:t>marke</w:t>
      </w:r>
      <w:r>
        <w:rPr>
          <w:rFonts w:ascii="微软雅黑" w:hAnsi="微软雅黑" w:eastAsia="微软雅黑" w:cstheme="minorEastAsia"/>
          <w:color w:val="000000" w:themeColor="text1"/>
          <w:szCs w:val="21"/>
          <w14:textFill>
            <w14:solidFill>
              <w14:schemeClr w14:val="tx1"/>
            </w14:solidFill>
          </w14:textFill>
        </w:rPr>
        <w:t>t</w:t>
      </w:r>
      <w:r>
        <w:rPr>
          <w:rFonts w:hint="eastAsia" w:ascii="微软雅黑" w:hAnsi="微软雅黑" w:eastAsia="微软雅黑" w:cstheme="minorEastAsia"/>
          <w:color w:val="000000" w:themeColor="text1"/>
          <w:szCs w:val="21"/>
          <w14:textFill>
            <w14:solidFill>
              <w14:schemeClr w14:val="tx1"/>
            </w14:solidFill>
          </w14:textFill>
        </w:rPr>
        <w:t>s</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中国建筑材料流通协会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 xml:space="preserve">四川省林业产业联合会 </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成都市建筑业协会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四川省室内装饰协会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四川省建筑防水协会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四川省建筑业商会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成都浴室柜行业协会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成都市建筑材料行业协会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成都市金属结构行业协会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四川省地坪工程技术协会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成都市房地产开发企业协会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成都室内装饰行业协会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四川省装配式建筑产业协会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四川省制冷学会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成都市节能及新材料产业协会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重庆橱柜衣柜定制行业协会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重庆家具行业协会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成都涂料行业协会</w:t>
      </w:r>
    </w:p>
    <w:p>
      <w:pPr>
        <w:snapToGrid w:val="0"/>
        <w:spacing w:line="360" w:lineRule="exact"/>
        <w:rPr>
          <w:rFonts w:ascii="微软雅黑" w:hAnsi="微软雅黑" w:eastAsia="微软雅黑" w:cstheme="minorEastAsia"/>
          <w:b/>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r>
        <w:rPr>
          <w:rFonts w:hint="eastAsia" w:ascii="微软雅黑" w:hAnsi="微软雅黑" w:eastAsia="微软雅黑" w:cstheme="minorEastAsia"/>
          <w:b/>
          <w:color w:val="000000" w:themeColor="text1"/>
          <w:sz w:val="28"/>
          <w:szCs w:val="28"/>
          <w14:textFill>
            <w14:solidFill>
              <w14:schemeClr w14:val="tx1"/>
            </w14:solidFill>
          </w14:textFill>
        </w:rPr>
        <w:t>承办单位：</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英富曼天一展览（成都）有限公司</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r>
        <w:rPr>
          <w:rFonts w:hint="eastAsia" w:ascii="微软雅黑" w:hAnsi="微软雅黑" w:eastAsia="微软雅黑" w:cstheme="minorEastAsia"/>
          <w:b/>
          <w:color w:val="000000" w:themeColor="text1"/>
          <w:sz w:val="28"/>
          <w:szCs w:val="28"/>
          <w14:textFill>
            <w14:solidFill>
              <w14:schemeClr w14:val="tx1"/>
            </w14:solidFill>
          </w14:textFill>
        </w:rPr>
        <w:t>支持单位：</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space="425" w:num="1"/>
          <w:docGrid w:type="lines" w:linePitch="312" w:charSpace="0"/>
        </w:sectPr>
      </w:pP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中国室内装饰协会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中国建筑装饰材料协会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重庆市建筑装饰协会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贵州省建筑装饰协会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云南省建筑装饰行业协会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重庆市暖通及安装行业协会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成都市名优产品供需企业联盟</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九正建材网</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四川省勘协建筑装饰装修设计专委会</w:t>
      </w: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r>
        <w:rPr>
          <w:rFonts w:hint="eastAsia" w:ascii="微软雅黑" w:hAnsi="微软雅黑" w:eastAsia="微软雅黑" w:cstheme="minorEastAsia"/>
          <w:color w:val="000000" w:themeColor="text1"/>
          <w:szCs w:val="21"/>
          <w14:textFill>
            <w14:solidFill>
              <w14:schemeClr w14:val="tx1"/>
            </w14:solidFill>
          </w14:textFill>
        </w:rPr>
        <w:t>四川墙纸墙布协会</w:t>
      </w: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exact"/>
        <w:rPr>
          <w:rFonts w:ascii="微软雅黑" w:hAnsi="微软雅黑" w:eastAsia="微软雅黑" w:cstheme="minorEastAsia"/>
          <w:b/>
          <w:color w:val="000000" w:themeColor="text1"/>
          <w:sz w:val="28"/>
          <w:szCs w:val="28"/>
          <w14:textFill>
            <w14:solidFill>
              <w14:schemeClr w14:val="tx1"/>
            </w14:solidFill>
          </w14:textFill>
        </w:rPr>
      </w:pPr>
      <w:r>
        <w:rPr>
          <w:rFonts w:hint="eastAsia" w:ascii="微软雅黑" w:hAnsi="微软雅黑" w:eastAsia="微软雅黑" w:cstheme="minorEastAsia"/>
          <w:b/>
          <w:color w:val="000000" w:themeColor="text1"/>
          <w:sz w:val="28"/>
          <w:szCs w:val="28"/>
          <w14:textFill>
            <w14:solidFill>
              <w14:schemeClr w14:val="tx1"/>
            </w14:solidFill>
          </w14:textFill>
        </w:rPr>
        <w:t>指导单位：</w:t>
      </w:r>
    </w:p>
    <w:p>
      <w:pPr>
        <w:snapToGrid w:val="0"/>
        <w:spacing w:line="360" w:lineRule="auto"/>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 xml:space="preserve">成都市博览局 </w:t>
      </w:r>
      <w:r>
        <w:rPr>
          <w:rFonts w:ascii="微软雅黑" w:hAnsi="微软雅黑" w:eastAsia="微软雅黑" w:cstheme="minorEastAsia"/>
          <w:color w:val="000000" w:themeColor="text1"/>
          <w:sz w:val="24"/>
          <w:szCs w:val="24"/>
          <w14:textFill>
            <w14:solidFill>
              <w14:schemeClr w14:val="tx1"/>
            </w14:solidFill>
          </w14:textFill>
        </w:rPr>
        <w:t xml:space="preserve">     </w:t>
      </w:r>
      <w:r>
        <w:rPr>
          <w:rFonts w:hint="eastAsia" w:ascii="微软雅黑" w:hAnsi="微软雅黑" w:eastAsia="微软雅黑" w:cstheme="minorEastAsia"/>
          <w:color w:val="000000" w:themeColor="text1"/>
          <w:sz w:val="24"/>
          <w:szCs w:val="24"/>
          <w14:textFill>
            <w14:solidFill>
              <w14:schemeClr w14:val="tx1"/>
            </w14:solidFill>
          </w14:textFill>
        </w:rPr>
        <w:t>成都市经济和信息化局</w:t>
      </w:r>
    </w:p>
    <w:p>
      <w:pPr>
        <w:snapToGrid w:val="0"/>
        <w:spacing w:line="360" w:lineRule="exact"/>
        <w:rPr>
          <w:rFonts w:hint="eastAsia" w:ascii="微软雅黑" w:hAnsi="微软雅黑" w:eastAsia="微软雅黑" w:cstheme="minorEastAsia"/>
          <w:b/>
          <w:color w:val="000000" w:themeColor="text1"/>
          <w:sz w:val="28"/>
          <w:szCs w:val="28"/>
          <w14:textFill>
            <w14:solidFill>
              <w14:schemeClr w14:val="tx1"/>
            </w14:solidFill>
          </w14:textFill>
        </w:rPr>
      </w:pPr>
    </w:p>
    <w:p>
      <w:pPr>
        <w:snapToGrid w:val="0"/>
        <w:spacing w:line="360" w:lineRule="auto"/>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 xml:space="preserve"> </w:t>
      </w:r>
      <w:r>
        <w:rPr>
          <w:rFonts w:ascii="微软雅黑" w:hAnsi="微软雅黑" w:eastAsia="微软雅黑" w:cstheme="minorEastAsia"/>
          <w:color w:val="000000" w:themeColor="text1"/>
          <w:szCs w:val="21"/>
          <w14:textFill>
            <w14:solidFill>
              <w14:schemeClr w14:val="tx1"/>
            </w14:solidFill>
          </w14:textFill>
        </w:rPr>
        <w:t xml:space="preserve">                             </w:t>
      </w:r>
    </w:p>
    <w:p>
      <w:pPr>
        <w:widowControl/>
        <w:spacing w:line="360" w:lineRule="auto"/>
        <w:jc w:val="left"/>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equalWidth="0" w:num="2">
            <w:col w:w="4660" w:space="425"/>
            <w:col w:w="4660"/>
          </w:cols>
          <w:docGrid w:type="lines" w:linePitch="312" w:charSpace="0"/>
        </w:sectPr>
      </w:pPr>
    </w:p>
    <w:p>
      <w:pPr>
        <w:snapToGrid w:val="0"/>
        <w:spacing w:line="360" w:lineRule="exact"/>
        <w:rPr>
          <w:rFonts w:ascii="微软雅黑" w:hAnsi="微软雅黑" w:eastAsia="微软雅黑" w:cstheme="minorEastAsia"/>
          <w:color w:val="000000" w:themeColor="text1"/>
          <w:szCs w:val="21"/>
          <w14:textFill>
            <w14:solidFill>
              <w14:schemeClr w14:val="tx1"/>
            </w14:solidFill>
          </w14:textFill>
        </w:rPr>
      </w:pPr>
    </w:p>
    <w:p>
      <w:pPr>
        <w:snapToGrid w:val="0"/>
        <w:spacing w:line="360" w:lineRule="auto"/>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space="425" w:num="1"/>
          <w:docGrid w:type="lines" w:linePitch="312" w:charSpace="0"/>
        </w:sectPr>
      </w:pPr>
    </w:p>
    <w:p>
      <w:pPr>
        <w:snapToGrid w:val="0"/>
        <w:spacing w:line="360" w:lineRule="auto"/>
        <w:rPr>
          <w:rFonts w:ascii="微软雅黑" w:hAnsi="微软雅黑" w:eastAsia="微软雅黑" w:cstheme="minorEastAsia"/>
          <w:b/>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p>
    <w:p>
      <w:pPr>
        <w:snapToGrid w:val="0"/>
        <w:spacing w:line="360" w:lineRule="auto"/>
        <w:rPr>
          <w:rFonts w:ascii="微软雅黑" w:hAnsi="微软雅黑" w:eastAsia="微软雅黑" w:cstheme="minorEastAsia"/>
          <w:b/>
          <w:color w:val="000000" w:themeColor="text1"/>
          <w:szCs w:val="21"/>
          <w14:textFill>
            <w14:solidFill>
              <w14:schemeClr w14:val="tx1"/>
            </w14:solidFill>
          </w14:textFill>
        </w:rPr>
        <w:sectPr>
          <w:type w:val="continuous"/>
          <w:pgSz w:w="11906" w:h="16838"/>
          <w:pgMar w:top="1440" w:right="1080" w:bottom="1440" w:left="1080" w:header="851" w:footer="992" w:gutter="0"/>
          <w:cols w:space="425" w:num="1"/>
          <w:docGrid w:type="lines" w:linePitch="312" w:charSpace="0"/>
        </w:sectPr>
      </w:pPr>
    </w:p>
    <w:p>
      <w:pPr>
        <w:snapToGrid w:val="0"/>
        <w:spacing w:line="360" w:lineRule="auto"/>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p>
    <w:bookmarkEnd w:id="1"/>
    <w:p>
      <w:pPr>
        <w:snapToGrid w:val="0"/>
        <w:spacing w:line="360" w:lineRule="auto"/>
        <w:rPr>
          <w:rFonts w:ascii="微软雅黑" w:hAnsi="微软雅黑" w:eastAsia="微软雅黑" w:cstheme="minorEastAsia"/>
          <w:color w:val="000000" w:themeColor="text1"/>
          <w:szCs w:val="21"/>
          <w14:textFill>
            <w14:solidFill>
              <w14:schemeClr w14:val="tx1"/>
            </w14:solidFill>
          </w14:textFill>
        </w:rPr>
        <w:sectPr>
          <w:type w:val="continuous"/>
          <w:pgSz w:w="11906" w:h="16838"/>
          <w:pgMar w:top="1440" w:right="1080" w:bottom="1440" w:left="1080" w:header="851" w:footer="992" w:gutter="0"/>
          <w:cols w:equalWidth="0" w:num="2">
            <w:col w:w="4660" w:space="425"/>
            <w:col w:w="4660"/>
          </w:cols>
          <w:docGrid w:type="lines" w:linePitch="312" w:charSpace="0"/>
        </w:sectPr>
      </w:pPr>
    </w:p>
    <w:bookmarkEnd w:id="2"/>
    <w:bookmarkEnd w:id="3"/>
    <w:p>
      <w:pPr>
        <w:spacing w:line="360" w:lineRule="auto"/>
        <w:rPr>
          <w:rFonts w:ascii="微软雅黑" w:hAnsi="微软雅黑" w:eastAsia="微软雅黑" w:cstheme="minorEastAsia"/>
          <w:b/>
          <w:color w:val="000000" w:themeColor="text1"/>
          <w:szCs w:val="21"/>
          <w14:textFill>
            <w14:solidFill>
              <w14:schemeClr w14:val="tx1"/>
            </w14:solidFill>
          </w14:textFill>
        </w:rPr>
        <w:sectPr>
          <w:type w:val="continuous"/>
          <w:pgSz w:w="11906" w:h="16838"/>
          <w:pgMar w:top="1440" w:right="1080" w:bottom="1440" w:left="1080" w:header="851" w:footer="992" w:gutter="0"/>
          <w:cols w:space="425" w:num="2"/>
          <w:docGrid w:type="lines" w:linePitch="312" w:charSpace="0"/>
        </w:sectPr>
      </w:pPr>
    </w:p>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展会信息</w:t>
      </w:r>
    </w:p>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CCBD全产业链大格局——为大家居建装行业提供整体解决方案</w:t>
      </w:r>
    </w:p>
    <w:tbl>
      <w:tblPr>
        <w:tblStyle w:val="7"/>
        <w:tblpPr w:leftFromText="180" w:rightFromText="180" w:vertAnchor="page" w:horzAnchor="margin" w:tblpY="2746"/>
        <w:tblOverlap w:val="never"/>
        <w:tblW w:w="97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8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展会名称</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第二十届成都建筑及装饰材料博览会（简称：成都建博会/CCBD）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布展时间</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20</w:t>
            </w:r>
            <w:r>
              <w:rPr>
                <w:rFonts w:ascii="微软雅黑" w:hAnsi="微软雅黑" w:eastAsia="微软雅黑" w:cstheme="minorEastAsia"/>
                <w:color w:val="000000" w:themeColor="text1"/>
                <w:szCs w:val="21"/>
                <w14:textFill>
                  <w14:solidFill>
                    <w14:schemeClr w14:val="tx1"/>
                  </w14:solidFill>
                </w14:textFill>
              </w:rPr>
              <w:t>20</w:t>
            </w:r>
            <w:r>
              <w:rPr>
                <w:rFonts w:hint="eastAsia" w:ascii="微软雅黑" w:hAnsi="微软雅黑" w:eastAsia="微软雅黑" w:cstheme="minorEastAsia"/>
                <w:color w:val="000000" w:themeColor="text1"/>
                <w:szCs w:val="21"/>
                <w14:textFill>
                  <w14:solidFill>
                    <w14:schemeClr w14:val="tx1"/>
                  </w14:solidFill>
                </w14:textFill>
              </w:rPr>
              <w:t>年</w:t>
            </w:r>
            <w:r>
              <w:rPr>
                <w:rFonts w:ascii="微软雅黑" w:hAnsi="微软雅黑" w:eastAsia="微软雅黑" w:cstheme="minorEastAsia"/>
                <w:color w:val="000000" w:themeColor="text1"/>
                <w:szCs w:val="21"/>
                <w14:textFill>
                  <w14:solidFill>
                    <w14:schemeClr w14:val="tx1"/>
                  </w14:solidFill>
                </w14:textFill>
              </w:rPr>
              <w:t>8</w:t>
            </w:r>
            <w:r>
              <w:rPr>
                <w:rFonts w:hint="eastAsia" w:ascii="微软雅黑" w:hAnsi="微软雅黑" w:eastAsia="微软雅黑" w:cstheme="minorEastAsia"/>
                <w:color w:val="000000" w:themeColor="text1"/>
                <w:szCs w:val="21"/>
                <w14:textFill>
                  <w14:solidFill>
                    <w14:schemeClr w14:val="tx1"/>
                  </w14:solidFill>
                </w14:textFill>
              </w:rPr>
              <w:t>月</w:t>
            </w:r>
            <w:r>
              <w:rPr>
                <w:rFonts w:ascii="微软雅黑" w:hAnsi="微软雅黑" w:eastAsia="微软雅黑" w:cstheme="minorEastAsia"/>
                <w:color w:val="000000" w:themeColor="text1"/>
                <w:szCs w:val="21"/>
                <w14:textFill>
                  <w14:solidFill>
                    <w14:schemeClr w14:val="tx1"/>
                  </w14:solidFill>
                </w14:textFill>
              </w:rPr>
              <w:t>17</w:t>
            </w:r>
            <w:r>
              <w:rPr>
                <w:rFonts w:hint="eastAsia" w:ascii="微软雅黑" w:hAnsi="微软雅黑" w:eastAsia="微软雅黑" w:cstheme="minorEastAsia"/>
                <w:color w:val="000000" w:themeColor="text1"/>
                <w:szCs w:val="21"/>
                <w14:textFill>
                  <w14:solidFill>
                    <w14:schemeClr w14:val="tx1"/>
                  </w14:solidFill>
                </w14:textFill>
              </w:rPr>
              <w:t>—</w:t>
            </w:r>
            <w:r>
              <w:rPr>
                <w:rFonts w:ascii="微软雅黑" w:hAnsi="微软雅黑" w:eastAsia="微软雅黑" w:cstheme="minorEastAsia"/>
                <w:color w:val="000000" w:themeColor="text1"/>
                <w:szCs w:val="21"/>
                <w14:textFill>
                  <w14:solidFill>
                    <w14:schemeClr w14:val="tx1"/>
                  </w14:solidFill>
                </w14:textFill>
              </w:rPr>
              <w:t>19</w:t>
            </w:r>
            <w:r>
              <w:rPr>
                <w:rFonts w:hint="eastAsia" w:ascii="微软雅黑" w:hAnsi="微软雅黑" w:eastAsia="微软雅黑" w:cstheme="minorEastAsia"/>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展会时间</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20</w:t>
            </w:r>
            <w:r>
              <w:rPr>
                <w:rFonts w:ascii="微软雅黑" w:hAnsi="微软雅黑" w:eastAsia="微软雅黑" w:cstheme="minorEastAsia"/>
                <w:color w:val="000000" w:themeColor="text1"/>
                <w:szCs w:val="21"/>
                <w14:textFill>
                  <w14:solidFill>
                    <w14:schemeClr w14:val="tx1"/>
                  </w14:solidFill>
                </w14:textFill>
              </w:rPr>
              <w:t>20</w:t>
            </w:r>
            <w:r>
              <w:rPr>
                <w:rFonts w:hint="eastAsia" w:ascii="微软雅黑" w:hAnsi="微软雅黑" w:eastAsia="微软雅黑" w:cstheme="minorEastAsia"/>
                <w:color w:val="000000" w:themeColor="text1"/>
                <w:szCs w:val="21"/>
                <w14:textFill>
                  <w14:solidFill>
                    <w14:schemeClr w14:val="tx1"/>
                  </w14:solidFill>
                </w14:textFill>
              </w:rPr>
              <w:t>年</w:t>
            </w:r>
            <w:r>
              <w:rPr>
                <w:rFonts w:ascii="微软雅黑" w:hAnsi="微软雅黑" w:eastAsia="微软雅黑" w:cstheme="minorEastAsia"/>
                <w:color w:val="000000" w:themeColor="text1"/>
                <w:szCs w:val="21"/>
                <w14:textFill>
                  <w14:solidFill>
                    <w14:schemeClr w14:val="tx1"/>
                  </w14:solidFill>
                </w14:textFill>
              </w:rPr>
              <w:t>8</w:t>
            </w:r>
            <w:r>
              <w:rPr>
                <w:rFonts w:hint="eastAsia" w:ascii="微软雅黑" w:hAnsi="微软雅黑" w:eastAsia="微软雅黑" w:cstheme="minorEastAsia"/>
                <w:color w:val="000000" w:themeColor="text1"/>
                <w:szCs w:val="21"/>
                <w14:textFill>
                  <w14:solidFill>
                    <w14:schemeClr w14:val="tx1"/>
                  </w14:solidFill>
                </w14:textFill>
              </w:rPr>
              <w:t>月</w:t>
            </w:r>
            <w:r>
              <w:rPr>
                <w:rFonts w:ascii="微软雅黑" w:hAnsi="微软雅黑" w:eastAsia="微软雅黑" w:cstheme="minorEastAsia"/>
                <w:color w:val="000000" w:themeColor="text1"/>
                <w:szCs w:val="21"/>
                <w14:textFill>
                  <w14:solidFill>
                    <w14:schemeClr w14:val="tx1"/>
                  </w14:solidFill>
                </w14:textFill>
              </w:rPr>
              <w:t>20</w:t>
            </w:r>
            <w:r>
              <w:rPr>
                <w:rFonts w:hint="eastAsia" w:ascii="微软雅黑" w:hAnsi="微软雅黑" w:eastAsia="微软雅黑" w:cstheme="minorEastAsia"/>
                <w:color w:val="000000" w:themeColor="text1"/>
                <w:szCs w:val="21"/>
                <w14:textFill>
                  <w14:solidFill>
                    <w14:schemeClr w14:val="tx1"/>
                  </w14:solidFill>
                </w14:textFill>
              </w:rPr>
              <w:t>—</w:t>
            </w:r>
            <w:r>
              <w:rPr>
                <w:rFonts w:ascii="微软雅黑" w:hAnsi="微软雅黑" w:eastAsia="微软雅黑" w:cstheme="minorEastAsia"/>
                <w:color w:val="000000" w:themeColor="text1"/>
                <w:szCs w:val="21"/>
                <w14:textFill>
                  <w14:solidFill>
                    <w14:schemeClr w14:val="tx1"/>
                  </w14:solidFill>
                </w14:textFill>
              </w:rPr>
              <w:t>22</w:t>
            </w:r>
            <w:r>
              <w:rPr>
                <w:rFonts w:hint="eastAsia" w:ascii="微软雅黑" w:hAnsi="微软雅黑" w:eastAsia="微软雅黑" w:cstheme="minorEastAsia"/>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展会地点</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中国西部国际博览城（四川省成都市天府新区福州路东段88号）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65" w:type="dxa"/>
          </w:tcPr>
          <w:p>
            <w:pPr>
              <w:rPr>
                <w:rFonts w:ascii="微软雅黑" w:hAnsi="微软雅黑" w:eastAsia="微软雅黑" w:cstheme="minorEastAsia"/>
                <w:b/>
                <w:bCs/>
                <w:color w:val="000000" w:themeColor="text1"/>
                <w:szCs w:val="21"/>
                <w14:textFill>
                  <w14:solidFill>
                    <w14:schemeClr w14:val="tx1"/>
                  </w14:solidFill>
                </w14:textFill>
              </w:rPr>
            </w:pPr>
            <w:r>
              <w:rPr>
                <w:rFonts w:hint="eastAsia" w:ascii="微软雅黑" w:hAnsi="微软雅黑" w:eastAsia="微软雅黑" w:cstheme="minorEastAsia"/>
                <w:b/>
                <w:bCs/>
                <w:color w:val="000000" w:themeColor="text1"/>
                <w:szCs w:val="21"/>
                <w14:textFill>
                  <w14:solidFill>
                    <w14:schemeClr w14:val="tx1"/>
                  </w14:solidFill>
                </w14:textFill>
              </w:rPr>
              <w:t>展会规模</w:t>
            </w:r>
          </w:p>
        </w:tc>
        <w:tc>
          <w:tcPr>
            <w:tcW w:w="8389" w:type="dxa"/>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11个展馆+4个展区·14万㎡展览面积·1600</w:t>
            </w:r>
            <w:r>
              <w:rPr>
                <w:rFonts w:hint="eastAsia" w:ascii="微软雅黑" w:hAnsi="微软雅黑" w:eastAsia="微软雅黑" w:cstheme="minorEastAsia"/>
                <w:color w:val="000000" w:themeColor="text1"/>
                <w:szCs w:val="21"/>
                <w:vertAlign w:val="superscript"/>
                <w14:textFill>
                  <w14:solidFill>
                    <w14:schemeClr w14:val="tx1"/>
                  </w14:solidFill>
                </w14:textFill>
              </w:rPr>
              <w:t>+</w:t>
            </w:r>
            <w:r>
              <w:rPr>
                <w:rFonts w:hint="eastAsia" w:ascii="微软雅黑" w:hAnsi="微软雅黑" w:eastAsia="微软雅黑" w:cstheme="minorEastAsia"/>
                <w:color w:val="000000" w:themeColor="text1"/>
                <w:szCs w:val="21"/>
                <w14:textFill>
                  <w14:solidFill>
                    <w14:schemeClr w14:val="tx1"/>
                  </w14:solidFill>
                </w14:textFill>
              </w:rPr>
              <w:t>展商、90000</w:t>
            </w:r>
            <w:r>
              <w:rPr>
                <w:rFonts w:hint="eastAsia" w:ascii="微软雅黑" w:hAnsi="微软雅黑" w:eastAsia="微软雅黑" w:cstheme="minorEastAsia"/>
                <w:color w:val="000000" w:themeColor="text1"/>
                <w:szCs w:val="21"/>
                <w:vertAlign w:val="superscript"/>
                <w14:textFill>
                  <w14:solidFill>
                    <w14:schemeClr w14:val="tx1"/>
                  </w14:solidFill>
                </w14:textFill>
              </w:rPr>
              <w:t>+</w:t>
            </w:r>
            <w:r>
              <w:rPr>
                <w:rFonts w:hint="eastAsia" w:ascii="微软雅黑" w:hAnsi="微软雅黑" w:eastAsia="微软雅黑" w:cstheme="minorEastAsia"/>
                <w:color w:val="000000" w:themeColor="text1"/>
                <w:szCs w:val="21"/>
                <w14:textFill>
                  <w14:solidFill>
                    <w14:schemeClr w14:val="tx1"/>
                  </w14:solidFill>
                </w14:textFill>
              </w:rPr>
              <w:t>人次观众</w:t>
            </w:r>
          </w:p>
        </w:tc>
      </w:tr>
    </w:tbl>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共享国际化平台、共拓中西部市场</w:t>
      </w:r>
    </w:p>
    <w:p>
      <w:pPr>
        <w:widowControl/>
        <w:spacing w:line="360" w:lineRule="auto"/>
        <w:ind w:firstLine="480" w:firstLineChars="200"/>
        <w:jc w:val="left"/>
        <w:rPr>
          <w:rFonts w:ascii="微软雅黑" w:hAnsi="微软雅黑" w:eastAsia="微软雅黑" w:cstheme="minorEastAsia"/>
          <w:color w:val="000000" w:themeColor="text1"/>
          <w:sz w:val="24"/>
          <w:szCs w:val="24"/>
          <w14:textFill>
            <w14:solidFill>
              <w14:schemeClr w14:val="tx1"/>
            </w14:solidFill>
          </w14:textFill>
        </w:rPr>
      </w:pPr>
      <w:bookmarkStart w:id="4" w:name="OLE_LINK9"/>
      <w:r>
        <w:rPr>
          <w:rFonts w:hint="eastAsia" w:ascii="微软雅黑" w:hAnsi="微软雅黑" w:eastAsia="微软雅黑" w:cstheme="minorEastAsia"/>
          <w:color w:val="000000" w:themeColor="text1"/>
          <w:sz w:val="24"/>
          <w:szCs w:val="24"/>
          <w14:textFill>
            <w14:solidFill>
              <w14:schemeClr w14:val="tx1"/>
            </w14:solidFill>
          </w14:textFill>
        </w:rPr>
        <w:t>成都建筑及装饰材料博览会（简称：成都建博会/CCBD）创办于2004年，</w:t>
      </w:r>
      <w:r>
        <w:rPr>
          <w:rFonts w:ascii="微软雅黑" w:hAnsi="微软雅黑" w:eastAsia="微软雅黑" w:cstheme="minorEastAsia"/>
          <w:color w:val="000000" w:themeColor="text1"/>
          <w:sz w:val="24"/>
          <w:szCs w:val="24"/>
          <w14:textFill>
            <w14:solidFill>
              <w14:schemeClr w14:val="tx1"/>
            </w14:solidFill>
          </w14:textFill>
        </w:rPr>
        <w:t>经过19届的</w:t>
      </w:r>
      <w:r>
        <w:rPr>
          <w:rFonts w:hint="eastAsia" w:ascii="微软雅黑" w:hAnsi="微软雅黑" w:eastAsia="微软雅黑" w:cstheme="minorEastAsia"/>
          <w:color w:val="000000" w:themeColor="text1"/>
          <w:sz w:val="24"/>
          <w:szCs w:val="24"/>
          <w14:textFill>
            <w14:solidFill>
              <w14:schemeClr w14:val="tx1"/>
            </w14:solidFill>
          </w14:textFill>
        </w:rPr>
        <w:t>稳步发展，</w:t>
      </w:r>
      <w:bookmarkStart w:id="5" w:name="OLE_LINK10"/>
      <w:r>
        <w:rPr>
          <w:rFonts w:hint="eastAsia" w:ascii="微软雅黑" w:hAnsi="微软雅黑" w:eastAsia="微软雅黑" w:cstheme="minorEastAsia"/>
          <w:color w:val="000000" w:themeColor="text1"/>
          <w:sz w:val="24"/>
          <w:szCs w:val="24"/>
          <w14:textFill>
            <w14:solidFill>
              <w14:schemeClr w14:val="tx1"/>
            </w14:solidFill>
          </w14:textFill>
        </w:rPr>
        <w:t>其规模已跃居全国同类展会前三，</w:t>
      </w:r>
      <w:r>
        <w:rPr>
          <w:rFonts w:ascii="微软雅黑" w:hAnsi="微软雅黑" w:eastAsia="微软雅黑" w:cstheme="minorEastAsia"/>
          <w:color w:val="000000" w:themeColor="text1"/>
          <w:sz w:val="24"/>
          <w:szCs w:val="24"/>
          <w14:textFill>
            <w14:solidFill>
              <w14:schemeClr w14:val="tx1"/>
            </w14:solidFill>
          </w14:textFill>
        </w:rPr>
        <w:t>中西部</w:t>
      </w:r>
      <w:r>
        <w:rPr>
          <w:rFonts w:hint="eastAsia" w:ascii="微软雅黑" w:hAnsi="微软雅黑" w:eastAsia="微软雅黑" w:cstheme="minorEastAsia"/>
          <w:color w:val="000000" w:themeColor="text1"/>
          <w:sz w:val="24"/>
          <w:szCs w:val="24"/>
          <w14:textFill>
            <w14:solidFill>
              <w14:schemeClr w14:val="tx1"/>
            </w14:solidFill>
          </w14:textFill>
        </w:rPr>
        <w:t>第一</w:t>
      </w:r>
      <w:r>
        <w:rPr>
          <w:rFonts w:ascii="微软雅黑" w:hAnsi="微软雅黑" w:eastAsia="微软雅黑" w:cstheme="minorEastAsia"/>
          <w:color w:val="000000" w:themeColor="text1"/>
          <w:sz w:val="24"/>
          <w:szCs w:val="24"/>
          <w14:textFill>
            <w14:solidFill>
              <w14:schemeClr w14:val="tx1"/>
            </w14:solidFill>
          </w14:textFill>
        </w:rPr>
        <w:t>。</w:t>
      </w:r>
      <w:bookmarkEnd w:id="5"/>
      <w:r>
        <w:rPr>
          <w:rFonts w:hint="eastAsia" w:ascii="微软雅黑" w:hAnsi="微软雅黑" w:eastAsia="微软雅黑" w:cstheme="minorEastAsia"/>
          <w:color w:val="000000" w:themeColor="text1"/>
          <w:sz w:val="24"/>
          <w:szCs w:val="24"/>
          <w14:textFill>
            <w14:solidFill>
              <w14:schemeClr w14:val="tx1"/>
            </w14:solidFill>
          </w14:textFill>
        </w:rPr>
        <w:t>是成都市博览局、成都市经济与信息化厅重点打造的成都品牌展会。</w:t>
      </w:r>
    </w:p>
    <w:p>
      <w:pPr>
        <w:widowControl/>
        <w:spacing w:line="360" w:lineRule="auto"/>
        <w:ind w:firstLine="480" w:firstLineChars="200"/>
        <w:jc w:val="left"/>
        <w:rPr>
          <w:rFonts w:ascii="微软雅黑" w:hAnsi="微软雅黑" w:eastAsia="微软雅黑" w:cstheme="minorEastAsia"/>
          <w:color w:val="000000" w:themeColor="text1"/>
          <w:sz w:val="24"/>
          <w:szCs w:val="24"/>
          <w14:textFill>
            <w14:solidFill>
              <w14:schemeClr w14:val="tx1"/>
            </w14:solidFill>
          </w14:textFill>
        </w:rPr>
      </w:pPr>
      <w:bookmarkStart w:id="6" w:name="OLE_LINK11"/>
      <w:bookmarkStart w:id="7" w:name="OLE_LINK12"/>
      <w:r>
        <w:rPr>
          <w:rFonts w:ascii="微软雅黑" w:hAnsi="微软雅黑" w:eastAsia="微软雅黑" w:cstheme="minorEastAsia"/>
          <w:color w:val="000000" w:themeColor="text1"/>
          <w:sz w:val="24"/>
          <w:szCs w:val="24"/>
          <w14:textFill>
            <w14:solidFill>
              <w14:schemeClr w14:val="tx1"/>
            </w14:solidFill>
          </w14:textFill>
        </w:rPr>
        <w:t>成都建博会致力于</w:t>
      </w:r>
      <w:r>
        <w:rPr>
          <w:rFonts w:hint="eastAsia" w:ascii="微软雅黑" w:hAnsi="微软雅黑" w:eastAsia="微软雅黑" w:cstheme="minorEastAsia"/>
          <w:color w:val="000000" w:themeColor="text1"/>
          <w:sz w:val="24"/>
          <w:szCs w:val="24"/>
          <w14:textFill>
            <w14:solidFill>
              <w14:schemeClr w14:val="tx1"/>
            </w14:solidFill>
          </w14:textFill>
        </w:rPr>
        <w:t>大</w:t>
      </w:r>
      <w:r>
        <w:rPr>
          <w:rFonts w:ascii="微软雅黑" w:hAnsi="微软雅黑" w:eastAsia="微软雅黑" w:cstheme="minorEastAsia"/>
          <w:color w:val="000000" w:themeColor="text1"/>
          <w:sz w:val="24"/>
          <w:szCs w:val="24"/>
          <w14:textFill>
            <w14:solidFill>
              <w14:schemeClr w14:val="tx1"/>
            </w14:solidFill>
          </w14:textFill>
        </w:rPr>
        <w:t>家居</w:t>
      </w:r>
      <w:r>
        <w:rPr>
          <w:rFonts w:hint="eastAsia" w:ascii="微软雅黑" w:hAnsi="微软雅黑" w:eastAsia="微软雅黑" w:cstheme="minorEastAsia"/>
          <w:color w:val="000000" w:themeColor="text1"/>
          <w:sz w:val="24"/>
          <w:szCs w:val="24"/>
          <w14:textFill>
            <w14:solidFill>
              <w14:schemeClr w14:val="tx1"/>
            </w14:solidFill>
          </w14:textFill>
        </w:rPr>
        <w:t>建装</w:t>
      </w:r>
      <w:r>
        <w:rPr>
          <w:rFonts w:ascii="微软雅黑" w:hAnsi="微软雅黑" w:eastAsia="微软雅黑" w:cstheme="minorEastAsia"/>
          <w:color w:val="000000" w:themeColor="text1"/>
          <w:sz w:val="24"/>
          <w:szCs w:val="24"/>
          <w14:textFill>
            <w14:solidFill>
              <w14:schemeClr w14:val="tx1"/>
            </w14:solidFill>
          </w14:textFill>
        </w:rPr>
        <w:t>行业“全产业链”产品展示布局，以展示</w:t>
      </w:r>
      <w:r>
        <w:rPr>
          <w:rFonts w:hint="eastAsia" w:ascii="微软雅黑" w:hAnsi="微软雅黑" w:eastAsia="微软雅黑" w:cstheme="minorEastAsia"/>
          <w:color w:val="000000" w:themeColor="text1"/>
          <w:sz w:val="24"/>
          <w:szCs w:val="24"/>
          <w14:textFill>
            <w14:solidFill>
              <w14:schemeClr w14:val="tx1"/>
            </w14:solidFill>
          </w14:textFill>
        </w:rPr>
        <w:t>全屋定制</w:t>
      </w:r>
      <w:r>
        <w:rPr>
          <w:rFonts w:ascii="微软雅黑" w:hAnsi="微软雅黑" w:eastAsia="微软雅黑" w:cstheme="minorEastAsia"/>
          <w:color w:val="000000" w:themeColor="text1"/>
          <w:sz w:val="24"/>
          <w:szCs w:val="24"/>
          <w14:textFill>
            <w14:solidFill>
              <w14:schemeClr w14:val="tx1"/>
            </w14:solidFill>
          </w14:textFill>
        </w:rPr>
        <w:t>、</w:t>
      </w:r>
      <w:r>
        <w:rPr>
          <w:rFonts w:hint="eastAsia" w:ascii="微软雅黑" w:hAnsi="微软雅黑" w:eastAsia="微软雅黑" w:cstheme="minorEastAsia"/>
          <w:color w:val="000000" w:themeColor="text1"/>
          <w:sz w:val="24"/>
          <w:szCs w:val="24"/>
          <w14:textFill>
            <w14:solidFill>
              <w14:schemeClr w14:val="tx1"/>
            </w14:solidFill>
          </w14:textFill>
        </w:rPr>
        <w:t>顶墙地材</w:t>
      </w:r>
      <w:r>
        <w:rPr>
          <w:rFonts w:ascii="微软雅黑" w:hAnsi="微软雅黑" w:eastAsia="微软雅黑" w:cstheme="minorEastAsia"/>
          <w:color w:val="000000" w:themeColor="text1"/>
          <w:sz w:val="24"/>
          <w:szCs w:val="24"/>
          <w14:textFill>
            <w14:solidFill>
              <w14:schemeClr w14:val="tx1"/>
            </w14:solidFill>
          </w14:textFill>
        </w:rPr>
        <w:t>、智能家居</w:t>
      </w:r>
      <w:r>
        <w:rPr>
          <w:rFonts w:hint="eastAsia" w:ascii="微软雅黑" w:hAnsi="微软雅黑" w:eastAsia="微软雅黑" w:cstheme="minorEastAsia"/>
          <w:color w:val="000000" w:themeColor="text1"/>
          <w:sz w:val="24"/>
          <w:szCs w:val="24"/>
          <w14:textFill>
            <w14:solidFill>
              <w14:schemeClr w14:val="tx1"/>
            </w14:solidFill>
          </w14:textFill>
        </w:rPr>
        <w:t>、陶瓷卫浴</w:t>
      </w:r>
      <w:r>
        <w:rPr>
          <w:rFonts w:ascii="微软雅黑" w:hAnsi="微软雅黑" w:eastAsia="微软雅黑" w:cstheme="minorEastAsia"/>
          <w:color w:val="000000" w:themeColor="text1"/>
          <w:sz w:val="24"/>
          <w:szCs w:val="24"/>
          <w14:textFill>
            <w14:solidFill>
              <w14:schemeClr w14:val="tx1"/>
            </w14:solidFill>
          </w14:textFill>
        </w:rPr>
        <w:t>、</w:t>
      </w:r>
      <w:r>
        <w:rPr>
          <w:rFonts w:hint="eastAsia" w:ascii="微软雅黑" w:hAnsi="微软雅黑" w:eastAsia="微软雅黑" w:cstheme="minorEastAsia"/>
          <w:color w:val="000000" w:themeColor="text1"/>
          <w:sz w:val="24"/>
          <w:szCs w:val="24"/>
          <w14:textFill>
            <w14:solidFill>
              <w14:schemeClr w14:val="tx1"/>
            </w14:solidFill>
          </w14:textFill>
        </w:rPr>
        <w:t>灯饰照明、系统</w:t>
      </w:r>
      <w:r>
        <w:rPr>
          <w:rFonts w:ascii="微软雅黑" w:hAnsi="微软雅黑" w:eastAsia="微软雅黑" w:cstheme="minorEastAsia"/>
          <w:color w:val="000000" w:themeColor="text1"/>
          <w:sz w:val="24"/>
          <w:szCs w:val="24"/>
          <w14:textFill>
            <w14:solidFill>
              <w14:schemeClr w14:val="tx1"/>
            </w14:solidFill>
          </w14:textFill>
        </w:rPr>
        <w:t>门窗、</w:t>
      </w:r>
      <w:r>
        <w:rPr>
          <w:rFonts w:hint="eastAsia" w:ascii="微软雅黑" w:hAnsi="微软雅黑" w:eastAsia="微软雅黑" w:cstheme="minorEastAsia"/>
          <w:color w:val="000000" w:themeColor="text1"/>
          <w:sz w:val="24"/>
          <w:szCs w:val="24"/>
          <w14:textFill>
            <w14:solidFill>
              <w14:schemeClr w14:val="tx1"/>
            </w14:solidFill>
          </w14:textFill>
        </w:rPr>
        <w:t>建筑新材料、装配式建筑及园林、暖通</w:t>
      </w:r>
      <w:r>
        <w:rPr>
          <w:rFonts w:ascii="微软雅黑" w:hAnsi="微软雅黑" w:eastAsia="微软雅黑" w:cstheme="minorEastAsia"/>
          <w:color w:val="000000" w:themeColor="text1"/>
          <w:sz w:val="24"/>
          <w:szCs w:val="24"/>
          <w14:textFill>
            <w14:solidFill>
              <w14:schemeClr w14:val="tx1"/>
            </w14:solidFill>
          </w14:textFill>
        </w:rPr>
        <w:t>舒适家居</w:t>
      </w:r>
      <w:r>
        <w:rPr>
          <w:rFonts w:hint="eastAsia" w:ascii="微软雅黑" w:hAnsi="微软雅黑" w:eastAsia="微软雅黑" w:cstheme="minorEastAsia"/>
          <w:color w:val="000000" w:themeColor="text1"/>
          <w:sz w:val="24"/>
          <w:szCs w:val="24"/>
          <w14:textFill>
            <w14:solidFill>
              <w14:schemeClr w14:val="tx1"/>
            </w14:solidFill>
          </w14:textFill>
        </w:rPr>
        <w:t>等</w:t>
      </w:r>
      <w:r>
        <w:rPr>
          <w:rFonts w:ascii="微软雅黑" w:hAnsi="微软雅黑" w:eastAsia="微软雅黑" w:cstheme="minorEastAsia"/>
          <w:color w:val="000000" w:themeColor="text1"/>
          <w:sz w:val="24"/>
          <w:szCs w:val="24"/>
          <w14:textFill>
            <w14:solidFill>
              <w14:schemeClr w14:val="tx1"/>
            </w14:solidFill>
          </w14:textFill>
        </w:rPr>
        <w:t>为特点，努力为</w:t>
      </w:r>
      <w:r>
        <w:rPr>
          <w:rFonts w:hint="eastAsia" w:ascii="微软雅黑" w:hAnsi="微软雅黑" w:eastAsia="微软雅黑" w:cstheme="minorEastAsia"/>
          <w:color w:val="000000" w:themeColor="text1"/>
          <w:sz w:val="24"/>
          <w:szCs w:val="24"/>
          <w14:textFill>
            <w14:solidFill>
              <w14:schemeClr w14:val="tx1"/>
            </w14:solidFill>
          </w14:textFill>
        </w:rPr>
        <w:t>大家居建装</w:t>
      </w:r>
      <w:r>
        <w:rPr>
          <w:rFonts w:ascii="微软雅黑" w:hAnsi="微软雅黑" w:eastAsia="微软雅黑" w:cstheme="minorEastAsia"/>
          <w:color w:val="000000" w:themeColor="text1"/>
          <w:sz w:val="24"/>
          <w:szCs w:val="24"/>
          <w14:textFill>
            <w14:solidFill>
              <w14:schemeClr w14:val="tx1"/>
            </w14:solidFill>
          </w14:textFill>
        </w:rPr>
        <w:t>行业提供完整解决方案。</w:t>
      </w:r>
    </w:p>
    <w:p>
      <w:pPr>
        <w:widowControl/>
        <w:spacing w:line="360" w:lineRule="auto"/>
        <w:ind w:firstLine="480" w:firstLineChars="200"/>
        <w:jc w:val="left"/>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成都建筑及装饰材料博览会（简称：成都建博会/CCBD）创办于2004年，</w:t>
      </w:r>
      <w:r>
        <w:rPr>
          <w:rFonts w:ascii="微软雅黑" w:hAnsi="微软雅黑" w:eastAsia="微软雅黑" w:cstheme="minorEastAsia"/>
          <w:color w:val="000000" w:themeColor="text1"/>
          <w:sz w:val="24"/>
          <w:szCs w:val="24"/>
          <w14:textFill>
            <w14:solidFill>
              <w14:schemeClr w14:val="tx1"/>
            </w14:solidFill>
          </w14:textFill>
        </w:rPr>
        <w:t>致力于</w:t>
      </w:r>
      <w:r>
        <w:rPr>
          <w:rFonts w:hint="eastAsia" w:ascii="微软雅黑" w:hAnsi="微软雅黑" w:eastAsia="微软雅黑" w:cstheme="minorEastAsia"/>
          <w:color w:val="000000" w:themeColor="text1"/>
          <w:sz w:val="24"/>
          <w:szCs w:val="24"/>
          <w14:textFill>
            <w14:solidFill>
              <w14:schemeClr w14:val="tx1"/>
            </w14:solidFill>
          </w14:textFill>
        </w:rPr>
        <w:t>大</w:t>
      </w:r>
      <w:r>
        <w:rPr>
          <w:rFonts w:ascii="微软雅黑" w:hAnsi="微软雅黑" w:eastAsia="微软雅黑" w:cstheme="minorEastAsia"/>
          <w:color w:val="000000" w:themeColor="text1"/>
          <w:sz w:val="24"/>
          <w:szCs w:val="24"/>
          <w14:textFill>
            <w14:solidFill>
              <w14:schemeClr w14:val="tx1"/>
            </w14:solidFill>
          </w14:textFill>
        </w:rPr>
        <w:t>家居</w:t>
      </w:r>
      <w:r>
        <w:rPr>
          <w:rFonts w:hint="eastAsia" w:ascii="微软雅黑" w:hAnsi="微软雅黑" w:eastAsia="微软雅黑" w:cstheme="minorEastAsia"/>
          <w:color w:val="000000" w:themeColor="text1"/>
          <w:sz w:val="24"/>
          <w:szCs w:val="24"/>
          <w14:textFill>
            <w14:solidFill>
              <w14:schemeClr w14:val="tx1"/>
            </w14:solidFill>
          </w14:textFill>
        </w:rPr>
        <w:t>建装</w:t>
      </w:r>
      <w:r>
        <w:rPr>
          <w:rFonts w:ascii="微软雅黑" w:hAnsi="微软雅黑" w:eastAsia="微软雅黑" w:cstheme="minorEastAsia"/>
          <w:color w:val="000000" w:themeColor="text1"/>
          <w:sz w:val="24"/>
          <w:szCs w:val="24"/>
          <w14:textFill>
            <w14:solidFill>
              <w14:schemeClr w14:val="tx1"/>
            </w14:solidFill>
          </w14:textFill>
        </w:rPr>
        <w:t>行业“全产业链”产品展示布局，以展示</w:t>
      </w:r>
      <w:r>
        <w:rPr>
          <w:rFonts w:hint="eastAsia" w:ascii="微软雅黑" w:hAnsi="微软雅黑" w:eastAsia="微软雅黑" w:cstheme="minorEastAsia"/>
          <w:color w:val="000000" w:themeColor="text1"/>
          <w:sz w:val="24"/>
          <w:szCs w:val="24"/>
          <w14:textFill>
            <w14:solidFill>
              <w14:schemeClr w14:val="tx1"/>
            </w14:solidFill>
          </w14:textFill>
        </w:rPr>
        <w:t>门窗、定制家居</w:t>
      </w:r>
      <w:r>
        <w:rPr>
          <w:rFonts w:ascii="微软雅黑" w:hAnsi="微软雅黑" w:eastAsia="微软雅黑" w:cstheme="minorEastAsia"/>
          <w:color w:val="000000" w:themeColor="text1"/>
          <w:sz w:val="24"/>
          <w:szCs w:val="24"/>
          <w14:textFill>
            <w14:solidFill>
              <w14:schemeClr w14:val="tx1"/>
            </w14:solidFill>
          </w14:textFill>
        </w:rPr>
        <w:t>、</w:t>
      </w:r>
      <w:r>
        <w:rPr>
          <w:rFonts w:hint="eastAsia" w:ascii="微软雅黑" w:hAnsi="微软雅黑" w:eastAsia="微软雅黑" w:cstheme="minorEastAsia"/>
          <w:color w:val="000000" w:themeColor="text1"/>
          <w:sz w:val="24"/>
          <w:szCs w:val="24"/>
          <w14:textFill>
            <w14:solidFill>
              <w14:schemeClr w14:val="tx1"/>
            </w14:solidFill>
          </w14:textFill>
        </w:rPr>
        <w:t>顶墙地材</w:t>
      </w:r>
      <w:r>
        <w:rPr>
          <w:rFonts w:ascii="微软雅黑" w:hAnsi="微软雅黑" w:eastAsia="微软雅黑" w:cstheme="minorEastAsia"/>
          <w:color w:val="000000" w:themeColor="text1"/>
          <w:sz w:val="24"/>
          <w:szCs w:val="24"/>
          <w14:textFill>
            <w14:solidFill>
              <w14:schemeClr w14:val="tx1"/>
            </w14:solidFill>
          </w14:textFill>
        </w:rPr>
        <w:t>、智能家居</w:t>
      </w:r>
      <w:r>
        <w:rPr>
          <w:rFonts w:hint="eastAsia" w:ascii="微软雅黑" w:hAnsi="微软雅黑" w:eastAsia="微软雅黑" w:cstheme="minorEastAsia"/>
          <w:color w:val="000000" w:themeColor="text1"/>
          <w:sz w:val="24"/>
          <w:szCs w:val="24"/>
          <w14:textFill>
            <w14:solidFill>
              <w14:schemeClr w14:val="tx1"/>
            </w14:solidFill>
          </w14:textFill>
        </w:rPr>
        <w:t>、陶瓷卫浴</w:t>
      </w:r>
      <w:r>
        <w:rPr>
          <w:rFonts w:ascii="微软雅黑" w:hAnsi="微软雅黑" w:eastAsia="微软雅黑" w:cstheme="minorEastAsia"/>
          <w:color w:val="000000" w:themeColor="text1"/>
          <w:sz w:val="24"/>
          <w:szCs w:val="24"/>
          <w14:textFill>
            <w14:solidFill>
              <w14:schemeClr w14:val="tx1"/>
            </w14:solidFill>
          </w14:textFill>
        </w:rPr>
        <w:t>、</w:t>
      </w:r>
      <w:r>
        <w:rPr>
          <w:rFonts w:hint="eastAsia" w:ascii="微软雅黑" w:hAnsi="微软雅黑" w:eastAsia="微软雅黑" w:cstheme="minorEastAsia"/>
          <w:color w:val="000000" w:themeColor="text1"/>
          <w:sz w:val="24"/>
          <w:szCs w:val="24"/>
          <w14:textFill>
            <w14:solidFill>
              <w14:schemeClr w14:val="tx1"/>
            </w14:solidFill>
          </w14:textFill>
        </w:rPr>
        <w:t>厨房电器、灯饰照明、建筑新材料、装配式建筑及园林、暖通</w:t>
      </w:r>
      <w:r>
        <w:rPr>
          <w:rFonts w:ascii="微软雅黑" w:hAnsi="微软雅黑" w:eastAsia="微软雅黑" w:cstheme="minorEastAsia"/>
          <w:color w:val="000000" w:themeColor="text1"/>
          <w:sz w:val="24"/>
          <w:szCs w:val="24"/>
          <w14:textFill>
            <w14:solidFill>
              <w14:schemeClr w14:val="tx1"/>
            </w14:solidFill>
          </w14:textFill>
        </w:rPr>
        <w:t>舒适家居</w:t>
      </w:r>
      <w:r>
        <w:rPr>
          <w:rFonts w:hint="eastAsia" w:ascii="微软雅黑" w:hAnsi="微软雅黑" w:eastAsia="微软雅黑" w:cstheme="minorEastAsia"/>
          <w:color w:val="000000" w:themeColor="text1"/>
          <w:sz w:val="24"/>
          <w:szCs w:val="24"/>
          <w14:textFill>
            <w14:solidFill>
              <w14:schemeClr w14:val="tx1"/>
            </w14:solidFill>
          </w14:textFill>
        </w:rPr>
        <w:t>等</w:t>
      </w:r>
      <w:r>
        <w:rPr>
          <w:rFonts w:ascii="微软雅黑" w:hAnsi="微软雅黑" w:eastAsia="微软雅黑" w:cstheme="minorEastAsia"/>
          <w:color w:val="000000" w:themeColor="text1"/>
          <w:sz w:val="24"/>
          <w:szCs w:val="24"/>
          <w14:textFill>
            <w14:solidFill>
              <w14:schemeClr w14:val="tx1"/>
            </w14:solidFill>
          </w14:textFill>
        </w:rPr>
        <w:t>为特点，努力为</w:t>
      </w:r>
      <w:r>
        <w:rPr>
          <w:rFonts w:hint="eastAsia" w:ascii="微软雅黑" w:hAnsi="微软雅黑" w:eastAsia="微软雅黑" w:cstheme="minorEastAsia"/>
          <w:color w:val="000000" w:themeColor="text1"/>
          <w:sz w:val="24"/>
          <w:szCs w:val="24"/>
          <w14:textFill>
            <w14:solidFill>
              <w14:schemeClr w14:val="tx1"/>
            </w14:solidFill>
          </w14:textFill>
        </w:rPr>
        <w:t>大家居建装</w:t>
      </w:r>
      <w:r>
        <w:rPr>
          <w:rFonts w:ascii="微软雅黑" w:hAnsi="微软雅黑" w:eastAsia="微软雅黑" w:cstheme="minorEastAsia"/>
          <w:color w:val="000000" w:themeColor="text1"/>
          <w:sz w:val="24"/>
          <w:szCs w:val="24"/>
          <w14:textFill>
            <w14:solidFill>
              <w14:schemeClr w14:val="tx1"/>
            </w14:solidFill>
          </w14:textFill>
        </w:rPr>
        <w:t>行业提供完整解决方案</w:t>
      </w:r>
      <w:r>
        <w:rPr>
          <w:rFonts w:hint="eastAsia" w:ascii="微软雅黑" w:hAnsi="微软雅黑" w:eastAsia="微软雅黑" w:cstheme="minorEastAsia"/>
          <w:color w:val="000000" w:themeColor="text1"/>
          <w:sz w:val="24"/>
          <w:szCs w:val="24"/>
          <w14:textFill>
            <w14:solidFill>
              <w14:schemeClr w14:val="tx1"/>
            </w14:solidFill>
          </w14:textFill>
        </w:rPr>
        <w:t>。</w:t>
      </w:r>
    </w:p>
    <w:p>
      <w:pPr>
        <w:widowControl/>
        <w:spacing w:line="360" w:lineRule="auto"/>
        <w:ind w:firstLine="480" w:firstLineChars="200"/>
        <w:jc w:val="left"/>
        <w:rPr>
          <w:rFonts w:ascii="微软雅黑" w:hAnsi="微软雅黑" w:eastAsia="微软雅黑" w:cstheme="minorEastAsia"/>
          <w:color w:val="000000" w:themeColor="text1"/>
          <w:sz w:val="24"/>
          <w:szCs w:val="24"/>
          <w14:textFill>
            <w14:solidFill>
              <w14:schemeClr w14:val="tx1"/>
            </w14:solidFill>
          </w14:textFill>
        </w:rPr>
      </w:pPr>
    </w:p>
    <w:bookmarkEnd w:id="4"/>
    <w:bookmarkEnd w:id="6"/>
    <w:bookmarkEnd w:id="7"/>
    <w:p>
      <w:pPr>
        <w:widowControl/>
        <w:spacing w:line="360" w:lineRule="auto"/>
        <w:ind w:firstLine="480" w:firstLineChars="200"/>
        <w:jc w:val="left"/>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专业的会展主办背景资源，</w:t>
      </w:r>
      <w:bookmarkStart w:id="8" w:name="OLE_LINK13"/>
      <w:bookmarkStart w:id="9" w:name="OLE_LINK14"/>
      <w:r>
        <w:rPr>
          <w:rFonts w:hint="eastAsia" w:ascii="微软雅黑" w:hAnsi="微软雅黑" w:eastAsia="微软雅黑" w:cstheme="minorEastAsia"/>
          <w:color w:val="000000" w:themeColor="text1"/>
          <w:sz w:val="24"/>
          <w:szCs w:val="24"/>
          <w14:textFill>
            <w14:solidFill>
              <w14:schemeClr w14:val="tx1"/>
            </w14:solidFill>
          </w14:textFill>
        </w:rPr>
        <w:t>英富曼天一展览（成都）有限公司隶属于</w:t>
      </w:r>
      <w:r>
        <w:rPr>
          <w:rFonts w:hint="eastAsia" w:ascii="微软雅黑" w:hAnsi="微软雅黑" w:eastAsia="微软雅黑" w:cstheme="minorEastAsia"/>
          <w:bCs/>
          <w:color w:val="000000" w:themeColor="text1"/>
          <w:sz w:val="24"/>
          <w:szCs w:val="24"/>
          <w14:textFill>
            <w14:solidFill>
              <w14:schemeClr w14:val="tx1"/>
            </w14:solidFill>
          </w14:textFill>
        </w:rPr>
        <w:t>Informa</w:t>
      </w:r>
      <w:r>
        <w:rPr>
          <w:rFonts w:ascii="微软雅黑" w:hAnsi="微软雅黑" w:eastAsia="微软雅黑" w:cstheme="minorEastAsia"/>
          <w:bCs/>
          <w:color w:val="000000" w:themeColor="text1"/>
          <w:sz w:val="24"/>
          <w:szCs w:val="24"/>
          <w14:textFill>
            <w14:solidFill>
              <w14:schemeClr w14:val="tx1"/>
            </w14:solidFill>
          </w14:textFill>
        </w:rPr>
        <w:t xml:space="preserve"> </w:t>
      </w:r>
      <w:r>
        <w:rPr>
          <w:rFonts w:hint="eastAsia" w:ascii="微软雅黑" w:hAnsi="微软雅黑" w:eastAsia="微软雅黑" w:cstheme="minorEastAsia"/>
          <w:bCs/>
          <w:color w:val="000000" w:themeColor="text1"/>
          <w:sz w:val="24"/>
          <w:szCs w:val="24"/>
          <w14:textFill>
            <w14:solidFill>
              <w14:schemeClr w14:val="tx1"/>
            </w14:solidFill>
          </w14:textFill>
        </w:rPr>
        <w:t>markets</w:t>
      </w:r>
      <w:r>
        <w:rPr>
          <w:rFonts w:hint="eastAsia" w:ascii="微软雅黑" w:hAnsi="微软雅黑" w:eastAsia="微软雅黑" w:cstheme="minorEastAsia"/>
          <w:color w:val="000000" w:themeColor="text1"/>
          <w:sz w:val="24"/>
          <w:szCs w:val="24"/>
          <w14:textFill>
            <w14:solidFill>
              <w14:schemeClr w14:val="tx1"/>
            </w14:solidFill>
          </w14:textFill>
        </w:rPr>
        <w:t>英富曼会展</w:t>
      </w:r>
      <w:r>
        <w:rPr>
          <w:rFonts w:ascii="微软雅黑" w:hAnsi="微软雅黑" w:eastAsia="微软雅黑" w:cstheme="minorEastAsia"/>
          <w:color w:val="000000" w:themeColor="text1"/>
          <w:sz w:val="24"/>
          <w:szCs w:val="24"/>
          <w14:textFill>
            <w14:solidFill>
              <w14:schemeClr w14:val="tx1"/>
            </w14:solidFill>
          </w14:textFill>
        </w:rPr>
        <w:t>集团</w:t>
      </w:r>
      <w:r>
        <w:rPr>
          <w:rFonts w:hint="eastAsia" w:ascii="微软雅黑" w:hAnsi="微软雅黑" w:eastAsia="微软雅黑" w:cstheme="minorEastAsia"/>
          <w:color w:val="000000" w:themeColor="text1"/>
          <w:sz w:val="24"/>
          <w:szCs w:val="24"/>
          <w14:textFill>
            <w14:solidFill>
              <w14:schemeClr w14:val="tx1"/>
            </w14:solidFill>
          </w14:textFill>
        </w:rPr>
        <w:t>（Informa集团和U</w:t>
      </w:r>
      <w:r>
        <w:rPr>
          <w:rFonts w:ascii="微软雅黑" w:hAnsi="微软雅黑" w:eastAsia="微软雅黑" w:cstheme="minorEastAsia"/>
          <w:color w:val="000000" w:themeColor="text1"/>
          <w:sz w:val="24"/>
          <w:szCs w:val="24"/>
          <w14:textFill>
            <w14:solidFill>
              <w14:schemeClr w14:val="tx1"/>
            </w14:solidFill>
          </w14:textFill>
        </w:rPr>
        <w:t>BM</w:t>
      </w:r>
      <w:r>
        <w:rPr>
          <w:rFonts w:hint="eastAsia" w:ascii="微软雅黑" w:hAnsi="微软雅黑" w:eastAsia="微软雅黑" w:cstheme="minorEastAsia"/>
          <w:color w:val="000000" w:themeColor="text1"/>
          <w:sz w:val="24"/>
          <w:szCs w:val="24"/>
          <w14:textFill>
            <w14:solidFill>
              <w14:schemeClr w14:val="tx1"/>
            </w14:solidFill>
          </w14:textFill>
        </w:rPr>
        <w:t>集团合资成立），致力于打造国际领先的B2B信息服务集团，以及全球最大的商营展会主办机构。每年在全球举办各类专业性展会超</w:t>
      </w:r>
      <w:r>
        <w:rPr>
          <w:rFonts w:ascii="微软雅黑" w:hAnsi="微软雅黑" w:eastAsia="微软雅黑" w:cstheme="minorEastAsia"/>
          <w:color w:val="000000" w:themeColor="text1"/>
          <w:sz w:val="24"/>
          <w:szCs w:val="24"/>
          <w14:textFill>
            <w14:solidFill>
              <w14:schemeClr w14:val="tx1"/>
            </w14:solidFill>
          </w14:textFill>
        </w:rPr>
        <w:t>500</w:t>
      </w:r>
      <w:r>
        <w:rPr>
          <w:rFonts w:hint="eastAsia" w:ascii="微软雅黑" w:hAnsi="微软雅黑" w:eastAsia="微软雅黑" w:cstheme="minorEastAsia"/>
          <w:color w:val="000000" w:themeColor="text1"/>
          <w:sz w:val="24"/>
          <w:szCs w:val="24"/>
          <w14:textFill>
            <w14:solidFill>
              <w14:schemeClr w14:val="tx1"/>
            </w14:solidFill>
          </w14:textFill>
        </w:rPr>
        <w:t>余场，集团旗下家居建筑类展览包括：</w:t>
      </w:r>
      <w:bookmarkStart w:id="10" w:name="_Hlk8894722"/>
      <w:r>
        <w:rPr>
          <w:rFonts w:hint="eastAsia" w:ascii="微软雅黑" w:hAnsi="微软雅黑" w:eastAsia="微软雅黑" w:cstheme="minorEastAsia"/>
          <w:color w:val="000000" w:themeColor="text1"/>
          <w:sz w:val="24"/>
          <w:szCs w:val="24"/>
          <w14:textFill>
            <w14:solidFill>
              <w14:schemeClr w14:val="tx1"/>
            </w14:solidFill>
          </w14:textFill>
        </w:rPr>
        <w:t>铝门窗幕墙新产品博览会；混凝土世界博览会；亚洲混凝土世界博览会；印度混凝土世界博览会；上海国际地面墙面材料、铺装及设计展；国际地面材料、石材及瓷砖展览会；上海家居设计周；中国国际家具博览会；摩登上海时尚家居展；</w:t>
      </w:r>
      <w:bookmarkEnd w:id="10"/>
      <w:r>
        <w:rPr>
          <w:rFonts w:hint="eastAsia" w:ascii="微软雅黑" w:hAnsi="微软雅黑" w:eastAsia="微软雅黑" w:cstheme="minorEastAsia"/>
          <w:color w:val="000000" w:themeColor="text1"/>
          <w:sz w:val="24"/>
          <w:szCs w:val="24"/>
          <w14:textFill>
            <w14:solidFill>
              <w14:schemeClr w14:val="tx1"/>
            </w14:solidFill>
          </w14:textFill>
        </w:rPr>
        <w:t>美国建筑师协会会议；美国国际屋面及防水材料博览会；马来西亚国际绿色建筑及建筑设计展等。2</w:t>
      </w:r>
      <w:r>
        <w:rPr>
          <w:rFonts w:ascii="微软雅黑" w:hAnsi="微软雅黑" w:eastAsia="微软雅黑" w:cstheme="minorEastAsia"/>
          <w:color w:val="000000" w:themeColor="text1"/>
          <w:sz w:val="24"/>
          <w:szCs w:val="24"/>
          <w14:textFill>
            <w14:solidFill>
              <w14:schemeClr w14:val="tx1"/>
            </w14:solidFill>
          </w14:textFill>
        </w:rPr>
        <w:t>020</w:t>
      </w:r>
      <w:r>
        <w:rPr>
          <w:rFonts w:hint="eastAsia" w:ascii="微软雅黑" w:hAnsi="微软雅黑" w:eastAsia="微软雅黑" w:cstheme="minorEastAsia"/>
          <w:color w:val="000000" w:themeColor="text1"/>
          <w:sz w:val="24"/>
          <w:szCs w:val="24"/>
          <w14:textFill>
            <w14:solidFill>
              <w14:schemeClr w14:val="tx1"/>
            </w14:solidFill>
          </w14:textFill>
        </w:rPr>
        <w:t>年将融入国际优势资源，强势助阵成都建博会。</w:t>
      </w:r>
      <w:r>
        <w:rPr>
          <w:rFonts w:ascii="微软雅黑" w:hAnsi="微软雅黑" w:eastAsia="微软雅黑" w:cstheme="minorEastAsia"/>
          <w:color w:val="000000" w:themeColor="text1"/>
          <w:sz w:val="24"/>
          <w:szCs w:val="24"/>
          <w14:textFill>
            <w14:solidFill>
              <w14:schemeClr w14:val="tx1"/>
            </w14:solidFill>
          </w14:textFill>
        </w:rPr>
        <w:t>将进一步推动成都建博会</w:t>
      </w:r>
      <w:r>
        <w:rPr>
          <w:rFonts w:hint="eastAsia" w:ascii="微软雅黑" w:hAnsi="微软雅黑" w:eastAsia="微软雅黑" w:cstheme="minorEastAsia"/>
          <w:color w:val="000000" w:themeColor="text1"/>
          <w:sz w:val="24"/>
          <w:szCs w:val="24"/>
          <w14:textFill>
            <w14:solidFill>
              <w14:schemeClr w14:val="tx1"/>
            </w14:solidFill>
          </w14:textFill>
        </w:rPr>
        <w:t>国际化</w:t>
      </w:r>
      <w:r>
        <w:rPr>
          <w:rFonts w:ascii="微软雅黑" w:hAnsi="微软雅黑" w:eastAsia="微软雅黑" w:cstheme="minorEastAsia"/>
          <w:color w:val="000000" w:themeColor="text1"/>
          <w:sz w:val="24"/>
          <w:szCs w:val="24"/>
          <w14:textFill>
            <w14:solidFill>
              <w14:schemeClr w14:val="tx1"/>
            </w14:solidFill>
          </w14:textFill>
        </w:rPr>
        <w:t>、品牌化、</w:t>
      </w:r>
      <w:r>
        <w:rPr>
          <w:rFonts w:hint="eastAsia" w:ascii="微软雅黑" w:hAnsi="微软雅黑" w:eastAsia="微软雅黑" w:cstheme="minorEastAsia"/>
          <w:color w:val="000000" w:themeColor="text1"/>
          <w:sz w:val="24"/>
          <w:szCs w:val="24"/>
          <w14:textFill>
            <w14:solidFill>
              <w14:schemeClr w14:val="tx1"/>
            </w14:solidFill>
          </w14:textFill>
        </w:rPr>
        <w:t>专业化</w:t>
      </w:r>
      <w:r>
        <w:rPr>
          <w:rFonts w:ascii="微软雅黑" w:hAnsi="微软雅黑" w:eastAsia="微软雅黑" w:cstheme="minorEastAsia"/>
          <w:color w:val="000000" w:themeColor="text1"/>
          <w:sz w:val="24"/>
          <w:szCs w:val="24"/>
          <w14:textFill>
            <w14:solidFill>
              <w14:schemeClr w14:val="tx1"/>
            </w14:solidFill>
          </w14:textFill>
        </w:rPr>
        <w:t>发展步伐，将为中国最具生机与潜力的中西部建材市场提供更加全面的商业平台</w:t>
      </w:r>
      <w:r>
        <w:rPr>
          <w:rFonts w:hint="eastAsia" w:ascii="微软雅黑" w:hAnsi="微软雅黑" w:eastAsia="微软雅黑" w:cstheme="minorEastAsia"/>
          <w:color w:val="000000" w:themeColor="text1"/>
          <w:sz w:val="24"/>
          <w:szCs w:val="24"/>
          <w14:textFill>
            <w14:solidFill>
              <w14:schemeClr w14:val="tx1"/>
            </w14:solidFill>
          </w14:textFill>
        </w:rPr>
        <w:t>。</w:t>
      </w:r>
      <w:bookmarkEnd w:id="8"/>
      <w:bookmarkEnd w:id="9"/>
    </w:p>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展馆规划</w:t>
      </w:r>
    </w:p>
    <w:p>
      <w:pPr>
        <w:jc w:val="center"/>
        <w:rPr>
          <w:rFonts w:ascii="微软雅黑" w:hAnsi="微软雅黑" w:eastAsia="微软雅黑"/>
          <w:sz w:val="24"/>
          <w:szCs w:val="24"/>
        </w:rPr>
      </w:pPr>
      <w:r>
        <w:rPr>
          <w:rFonts w:ascii="微软雅黑" w:hAnsi="微软雅黑" w:eastAsia="微软雅黑"/>
          <w:sz w:val="24"/>
          <w:szCs w:val="24"/>
        </w:rPr>
        <w:drawing>
          <wp:inline distT="0" distB="0" distL="0" distR="0">
            <wp:extent cx="6186170" cy="2759075"/>
            <wp:effectExtent l="0" t="0" r="508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86170" cy="2759075"/>
                    </a:xfrm>
                    <a:prstGeom prst="rect">
                      <a:avLst/>
                    </a:prstGeom>
                    <a:noFill/>
                    <a:ln>
                      <a:noFill/>
                    </a:ln>
                  </pic:spPr>
                </pic:pic>
              </a:graphicData>
            </a:graphic>
          </wp:inline>
        </w:drawing>
      </w:r>
    </w:p>
    <w:p>
      <w:pPr>
        <w:rPr>
          <w:rFonts w:ascii="微软雅黑" w:hAnsi="微软雅黑" w:eastAsia="微软雅黑"/>
          <w:sz w:val="24"/>
          <w:szCs w:val="24"/>
        </w:rPr>
        <w:sectPr>
          <w:type w:val="continuous"/>
          <w:pgSz w:w="11906" w:h="16838"/>
          <w:pgMar w:top="1440" w:right="1080" w:bottom="1440" w:left="1080" w:header="567" w:footer="992" w:gutter="0"/>
          <w:cols w:space="425" w:num="1"/>
          <w:docGrid w:type="lines" w:linePitch="312" w:charSpace="0"/>
        </w:sectPr>
      </w:pP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 门窗馆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2 门窗馆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 门窗馆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3-4连接馆 陶瓷展区</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4 智能家居/卫浴馆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5 墙面/吊顶/地材/软装馆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ascii="微软雅黑" w:hAnsi="微软雅黑" w:eastAsia="微软雅黑"/>
          <w:color w:val="000000" w:themeColor="text1"/>
          <w:sz w:val="18"/>
          <w:szCs w:val="18"/>
          <w14:textFill>
            <w14:solidFill>
              <w14:schemeClr w14:val="tx1"/>
            </w14:solidFill>
          </w14:textFill>
        </w:rPr>
        <w:t>5-6</w:t>
      </w:r>
      <w:r>
        <w:rPr>
          <w:rFonts w:hint="eastAsia" w:ascii="微软雅黑" w:hAnsi="微软雅黑" w:eastAsia="微软雅黑"/>
          <w:color w:val="000000" w:themeColor="text1"/>
          <w:sz w:val="18"/>
          <w:szCs w:val="18"/>
          <w14:textFill>
            <w14:solidFill>
              <w14:schemeClr w14:val="tx1"/>
            </w14:solidFill>
          </w14:textFill>
        </w:rPr>
        <w:t>连接馆 照明展区</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9 活动论坛馆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10 暖通净水馆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10-11连接馆 厨电展区</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11 定制家居馆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14 定制家居馆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w:t>
      </w:r>
      <w:r>
        <w:rPr>
          <w:rFonts w:ascii="微软雅黑" w:hAnsi="微软雅黑" w:eastAsia="微软雅黑"/>
          <w:color w:val="000000" w:themeColor="text1"/>
          <w:sz w:val="18"/>
          <w:szCs w:val="18"/>
          <w14:textFill>
            <w14:solidFill>
              <w14:schemeClr w14:val="tx1"/>
            </w14:solidFill>
          </w14:textFill>
        </w:rPr>
        <w:t>4-15</w:t>
      </w:r>
      <w:r>
        <w:rPr>
          <w:rFonts w:hint="eastAsia" w:ascii="微软雅黑" w:hAnsi="微软雅黑" w:eastAsia="微软雅黑"/>
          <w:color w:val="000000" w:themeColor="text1"/>
          <w:sz w:val="18"/>
          <w:szCs w:val="18"/>
          <w14:textFill>
            <w14:solidFill>
              <w14:schemeClr w14:val="tx1"/>
            </w14:solidFill>
          </w14:textFill>
        </w:rPr>
        <w:t>连接馆 定制设备展区</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15 建筑新材料馆</w:t>
      </w:r>
    </w:p>
    <w:p>
      <w:pPr>
        <w:adjustRightInd w:val="0"/>
        <w:snapToGrid w:val="0"/>
        <w:jc w:val="left"/>
        <w:rPr>
          <w:rFonts w:ascii="微软雅黑" w:hAnsi="微软雅黑" w:eastAsia="微软雅黑"/>
          <w:color w:val="000000" w:themeColor="text1"/>
          <w:sz w:val="18"/>
          <w:szCs w:val="18"/>
          <w14:textFill>
            <w14:solidFill>
              <w14:schemeClr w14:val="tx1"/>
            </w14:solidFill>
          </w14:textFill>
        </w:rPr>
      </w:pPr>
      <w:r>
        <w:rPr>
          <w:rFonts w:hint="eastAsia" w:ascii="微软雅黑" w:hAnsi="微软雅黑" w:eastAsia="微软雅黑"/>
          <w:color w:val="000000" w:themeColor="text1"/>
          <w:sz w:val="18"/>
          <w:szCs w:val="18"/>
          <w14:textFill>
            <w14:solidFill>
              <w14:schemeClr w14:val="tx1"/>
            </w14:solidFill>
          </w14:textFill>
        </w:rPr>
        <w:t>16 装配式建筑/园林馆</w:t>
      </w:r>
    </w:p>
    <w:p>
      <w:pPr>
        <w:spacing w:before="312" w:beforeLines="100" w:line="200" w:lineRule="exact"/>
        <w:jc w:val="left"/>
        <w:rPr>
          <w:rFonts w:ascii="微软雅黑" w:hAnsi="微软雅黑" w:eastAsia="微软雅黑" w:cstheme="minorEastAsia"/>
          <w:b/>
          <w:bCs/>
          <w:color w:val="000000" w:themeColor="text1"/>
          <w:sz w:val="28"/>
          <w:szCs w:val="28"/>
          <w14:textFill>
            <w14:solidFill>
              <w14:schemeClr w14:val="tx1"/>
            </w14:solidFill>
          </w14:textFill>
        </w:rPr>
        <w:sectPr>
          <w:type w:val="continuous"/>
          <w:pgSz w:w="11906" w:h="16838"/>
          <w:pgMar w:top="1440" w:right="1080" w:bottom="1440" w:left="1080" w:header="567" w:footer="992" w:gutter="0"/>
          <w:cols w:space="425" w:num="3"/>
          <w:docGrid w:type="lines" w:linePitch="312" w:charSpace="0"/>
        </w:sectPr>
      </w:pPr>
    </w:p>
    <w:p>
      <w:pPr>
        <w:rPr>
          <w:rFonts w:ascii="微软雅黑" w:hAnsi="微软雅黑" w:eastAsia="微软雅黑" w:cstheme="minorEastAsia"/>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20</w:t>
      </w:r>
      <w:r>
        <w:rPr>
          <w:rFonts w:ascii="微软雅黑" w:hAnsi="微软雅黑" w:eastAsia="微软雅黑" w:cstheme="minorEastAsia"/>
          <w:b/>
          <w:bCs/>
          <w:color w:val="000000" w:themeColor="text1"/>
          <w:sz w:val="28"/>
          <w:szCs w:val="28"/>
          <w14:textFill>
            <w14:solidFill>
              <w14:schemeClr w14:val="tx1"/>
            </w14:solidFill>
          </w14:textFill>
        </w:rPr>
        <w:t>20</w:t>
      </w:r>
      <w:r>
        <w:rPr>
          <w:rFonts w:hint="eastAsia" w:ascii="微软雅黑" w:hAnsi="微软雅黑" w:eastAsia="微软雅黑" w:cstheme="minorEastAsia"/>
          <w:b/>
          <w:bCs/>
          <w:color w:val="000000" w:themeColor="text1"/>
          <w:sz w:val="28"/>
          <w:szCs w:val="28"/>
          <w14:textFill>
            <w14:solidFill>
              <w14:schemeClr w14:val="tx1"/>
            </w14:solidFill>
          </w14:textFill>
        </w:rPr>
        <w:t>·</w:t>
      </w:r>
      <w:r>
        <w:rPr>
          <w:rFonts w:ascii="微软雅黑" w:hAnsi="微软雅黑" w:eastAsia="微软雅黑" w:cstheme="minorEastAsia"/>
          <w:b/>
          <w:bCs/>
          <w:color w:val="000000" w:themeColor="text1"/>
          <w:sz w:val="28"/>
          <w:szCs w:val="28"/>
          <w14:textFill>
            <w14:solidFill>
              <w14:schemeClr w14:val="tx1"/>
            </w14:solidFill>
          </w14:textFill>
        </w:rPr>
        <w:t>CCBD</w:t>
      </w:r>
      <w:r>
        <w:rPr>
          <w:rFonts w:hint="eastAsia" w:ascii="微软雅黑" w:hAnsi="微软雅黑" w:eastAsia="微软雅黑" w:cstheme="minorEastAsia"/>
          <w:b/>
          <w:bCs/>
          <w:color w:val="000000" w:themeColor="text1"/>
          <w:sz w:val="28"/>
          <w:szCs w:val="28"/>
          <w14:textFill>
            <w14:solidFill>
              <w14:schemeClr w14:val="tx1"/>
            </w14:solidFill>
          </w14:textFill>
        </w:rPr>
        <w:t>参展费用</w:t>
      </w:r>
    </w:p>
    <w:p>
      <w:pPr>
        <w:snapToGrid w:val="0"/>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展位价格</w:t>
      </w:r>
    </w:p>
    <w:tbl>
      <w:tblPr>
        <w:tblStyle w:val="6"/>
        <w:tblW w:w="989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1"/>
        <w:gridCol w:w="1843"/>
        <w:gridCol w:w="6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3" w:hRule="atLeast"/>
        </w:trPr>
        <w:tc>
          <w:tcPr>
            <w:tcW w:w="1701" w:type="dxa"/>
            <w:vAlign w:val="center"/>
          </w:tcPr>
          <w:p>
            <w:pPr>
              <w:jc w:val="center"/>
              <w:rPr>
                <w:rFonts w:ascii="微软雅黑" w:hAnsi="微软雅黑" w:eastAsia="微软雅黑" w:cstheme="minorEastAsia"/>
                <w:bCs/>
                <w:color w:val="000000" w:themeColor="text1"/>
                <w:szCs w:val="21"/>
                <w14:textFill>
                  <w14:solidFill>
                    <w14:schemeClr w14:val="tx1"/>
                  </w14:solidFill>
                </w14:textFill>
              </w:rPr>
            </w:pPr>
            <w:r>
              <w:rPr>
                <w:rFonts w:hint="eastAsia" w:ascii="微软雅黑" w:hAnsi="微软雅黑" w:eastAsia="微软雅黑" w:cstheme="minorEastAsia"/>
                <w:bCs/>
                <w:color w:val="000000" w:themeColor="text1"/>
                <w:szCs w:val="21"/>
                <w14:textFill>
                  <w14:solidFill>
                    <w14:schemeClr w14:val="tx1"/>
                  </w14:solidFill>
                </w14:textFill>
              </w:rPr>
              <w:t>展位类别</w:t>
            </w:r>
          </w:p>
        </w:tc>
        <w:tc>
          <w:tcPr>
            <w:tcW w:w="1843" w:type="dxa"/>
            <w:vAlign w:val="center"/>
          </w:tcPr>
          <w:p>
            <w:pPr>
              <w:jc w:val="center"/>
              <w:rPr>
                <w:rFonts w:ascii="微软雅黑" w:hAnsi="微软雅黑" w:eastAsia="微软雅黑" w:cstheme="minorEastAsia"/>
                <w:bCs/>
                <w:color w:val="000000" w:themeColor="text1"/>
                <w:szCs w:val="21"/>
                <w14:textFill>
                  <w14:solidFill>
                    <w14:schemeClr w14:val="tx1"/>
                  </w14:solidFill>
                </w14:textFill>
              </w:rPr>
            </w:pPr>
            <w:r>
              <w:rPr>
                <w:rFonts w:hint="eastAsia" w:ascii="微软雅黑" w:hAnsi="微软雅黑" w:eastAsia="微软雅黑" w:cstheme="minorEastAsia"/>
                <w:bCs/>
                <w:color w:val="000000" w:themeColor="text1"/>
                <w:szCs w:val="21"/>
                <w14:textFill>
                  <w14:solidFill>
                    <w14:schemeClr w14:val="tx1"/>
                  </w14:solidFill>
                </w14:textFill>
              </w:rPr>
              <w:t>价格（元）</w:t>
            </w:r>
          </w:p>
        </w:tc>
        <w:tc>
          <w:tcPr>
            <w:tcW w:w="6350" w:type="dxa"/>
            <w:vAlign w:val="center"/>
          </w:tcPr>
          <w:p>
            <w:pPr>
              <w:jc w:val="center"/>
              <w:rPr>
                <w:rFonts w:ascii="微软雅黑" w:hAnsi="微软雅黑" w:eastAsia="微软雅黑" w:cstheme="minorEastAsia"/>
                <w:bCs/>
                <w:color w:val="000000" w:themeColor="text1"/>
                <w:szCs w:val="21"/>
                <w14:textFill>
                  <w14:solidFill>
                    <w14:schemeClr w14:val="tx1"/>
                  </w14:solidFill>
                </w14:textFill>
              </w:rPr>
            </w:pPr>
            <w:r>
              <w:rPr>
                <w:rFonts w:hint="eastAsia" w:ascii="微软雅黑" w:hAnsi="微软雅黑" w:eastAsia="微软雅黑" w:cstheme="minorEastAsia"/>
                <w:bCs/>
                <w:color w:val="000000" w:themeColor="text1"/>
                <w:szCs w:val="21"/>
                <w14:textFill>
                  <w14:solidFill>
                    <w14:schemeClr w14:val="tx1"/>
                  </w14:solidFill>
                </w14:textFill>
              </w:rPr>
              <w:t>展位配置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701" w:type="dxa"/>
            <w:vAlign w:val="center"/>
          </w:tcPr>
          <w:p>
            <w:pPr>
              <w:jc w:val="center"/>
              <w:rPr>
                <w:rFonts w:ascii="微软雅黑" w:hAnsi="微软雅黑" w:eastAsia="微软雅黑" w:cstheme="minorEastAsia"/>
                <w:bCs/>
                <w:color w:val="000000" w:themeColor="text1"/>
                <w:szCs w:val="21"/>
                <w14:textFill>
                  <w14:solidFill>
                    <w14:schemeClr w14:val="tx1"/>
                  </w14:solidFill>
                </w14:textFill>
              </w:rPr>
            </w:pPr>
            <w:r>
              <w:rPr>
                <w:rFonts w:hint="eastAsia" w:ascii="微软雅黑" w:hAnsi="微软雅黑" w:eastAsia="微软雅黑" w:cstheme="minorEastAsia"/>
                <w:bCs/>
                <w:color w:val="000000" w:themeColor="text1"/>
                <w:szCs w:val="21"/>
                <w14:textFill>
                  <w14:solidFill>
                    <w14:schemeClr w14:val="tx1"/>
                  </w14:solidFill>
                </w14:textFill>
              </w:rPr>
              <w:t>9m</w:t>
            </w:r>
            <w:r>
              <w:rPr>
                <w:rFonts w:hint="eastAsia" w:ascii="微软雅黑" w:hAnsi="微软雅黑" w:eastAsia="微软雅黑" w:cstheme="minorEastAsia"/>
                <w:bCs/>
                <w:color w:val="000000" w:themeColor="text1"/>
                <w:szCs w:val="21"/>
                <w:vertAlign w:val="superscript"/>
                <w14:textFill>
                  <w14:solidFill>
                    <w14:schemeClr w14:val="tx1"/>
                  </w14:solidFill>
                </w14:textFill>
              </w:rPr>
              <w:t>2</w:t>
            </w:r>
            <w:r>
              <w:rPr>
                <w:rFonts w:hint="eastAsia" w:ascii="微软雅黑" w:hAnsi="微软雅黑" w:eastAsia="微软雅黑" w:cstheme="minorEastAsia"/>
                <w:bCs/>
                <w:color w:val="000000" w:themeColor="text1"/>
                <w:szCs w:val="21"/>
                <w14:textFill>
                  <w14:solidFill>
                    <w14:schemeClr w14:val="tx1"/>
                  </w14:solidFill>
                </w14:textFill>
              </w:rPr>
              <w:t>标准展位</w:t>
            </w:r>
          </w:p>
        </w:tc>
        <w:tc>
          <w:tcPr>
            <w:tcW w:w="1843" w:type="dxa"/>
            <w:vAlign w:val="center"/>
          </w:tcPr>
          <w:p>
            <w:pPr>
              <w:jc w:val="center"/>
              <w:rPr>
                <w:rFonts w:ascii="微软雅黑" w:hAnsi="微软雅黑" w:eastAsia="微软雅黑" w:cstheme="minorEastAsia"/>
                <w:bCs/>
                <w:color w:val="000000" w:themeColor="text1"/>
                <w:szCs w:val="21"/>
                <w14:textFill>
                  <w14:solidFill>
                    <w14:schemeClr w14:val="tx1"/>
                  </w14:solidFill>
                </w14:textFill>
              </w:rPr>
            </w:pPr>
            <w:r>
              <w:rPr>
                <w:rFonts w:hint="eastAsia" w:ascii="微软雅黑" w:hAnsi="微软雅黑" w:eastAsia="微软雅黑" w:cstheme="minorEastAsia"/>
                <w:bCs/>
                <w:color w:val="000000" w:themeColor="text1"/>
                <w:szCs w:val="21"/>
                <w14:textFill>
                  <w14:solidFill>
                    <w14:schemeClr w14:val="tx1"/>
                  </w14:solidFill>
                </w14:textFill>
              </w:rPr>
              <w:t>9000元/个</w:t>
            </w:r>
          </w:p>
        </w:tc>
        <w:tc>
          <w:tcPr>
            <w:tcW w:w="6350" w:type="dxa"/>
            <w:vAlign w:val="center"/>
          </w:tcPr>
          <w:p>
            <w:pPr>
              <w:rPr>
                <w:rFonts w:ascii="微软雅黑" w:hAnsi="微软雅黑" w:eastAsia="微软雅黑" w:cstheme="minorEastAsia"/>
                <w:color w:val="000000" w:themeColor="text1"/>
                <w:szCs w:val="21"/>
                <w14:textFill>
                  <w14:solidFill>
                    <w14:schemeClr w14:val="tx1"/>
                  </w14:solidFill>
                </w14:textFill>
              </w:rPr>
            </w:pPr>
            <w:r>
              <w:rPr>
                <w:rFonts w:hint="eastAsia" w:ascii="微软雅黑" w:hAnsi="微软雅黑" w:eastAsia="微软雅黑" w:cstheme="minorEastAsia"/>
                <w:color w:val="000000" w:themeColor="text1"/>
                <w:szCs w:val="21"/>
                <w14:textFill>
                  <w14:solidFill>
                    <w14:schemeClr w14:val="tx1"/>
                  </w14:solidFill>
                </w14:textFill>
              </w:rPr>
              <w:t>一桌两椅、两条楣板、两面展板（单开口展位三面）、二只射灯、(220V/500W)电源插座。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9" w:hRule="atLeast"/>
        </w:trPr>
        <w:tc>
          <w:tcPr>
            <w:tcW w:w="1701" w:type="dxa"/>
            <w:vAlign w:val="center"/>
          </w:tcPr>
          <w:p>
            <w:pPr>
              <w:jc w:val="center"/>
              <w:rPr>
                <w:rFonts w:ascii="微软雅黑" w:hAnsi="微软雅黑" w:eastAsia="微软雅黑" w:cstheme="minorEastAsia"/>
                <w:bCs/>
                <w:color w:val="000000" w:themeColor="text1"/>
                <w:szCs w:val="21"/>
                <w14:textFill>
                  <w14:solidFill>
                    <w14:schemeClr w14:val="tx1"/>
                  </w14:solidFill>
                </w14:textFill>
              </w:rPr>
            </w:pPr>
            <w:r>
              <w:rPr>
                <w:rFonts w:hint="eastAsia" w:ascii="微软雅黑" w:hAnsi="微软雅黑" w:eastAsia="微软雅黑" w:cstheme="minorEastAsia"/>
                <w:bCs/>
                <w:color w:val="000000" w:themeColor="text1"/>
                <w:szCs w:val="21"/>
                <w14:textFill>
                  <w14:solidFill>
                    <w14:schemeClr w14:val="tx1"/>
                  </w14:solidFill>
                </w14:textFill>
              </w:rPr>
              <w:t>空地展位</w:t>
            </w:r>
          </w:p>
        </w:tc>
        <w:tc>
          <w:tcPr>
            <w:tcW w:w="1843" w:type="dxa"/>
            <w:vAlign w:val="center"/>
          </w:tcPr>
          <w:p>
            <w:pPr>
              <w:jc w:val="center"/>
              <w:rPr>
                <w:rFonts w:ascii="微软雅黑" w:hAnsi="微软雅黑" w:eastAsia="微软雅黑" w:cstheme="minorEastAsia"/>
                <w:bCs/>
                <w:color w:val="000000" w:themeColor="text1"/>
                <w:szCs w:val="21"/>
                <w14:textFill>
                  <w14:solidFill>
                    <w14:schemeClr w14:val="tx1"/>
                  </w14:solidFill>
                </w14:textFill>
              </w:rPr>
            </w:pPr>
            <w:r>
              <w:rPr>
                <w:rFonts w:hint="eastAsia" w:ascii="微软雅黑" w:hAnsi="微软雅黑" w:eastAsia="微软雅黑" w:cstheme="minorEastAsia"/>
                <w:bCs/>
                <w:color w:val="000000" w:themeColor="text1"/>
                <w:szCs w:val="21"/>
                <w14:textFill>
                  <w14:solidFill>
                    <w14:schemeClr w14:val="tx1"/>
                  </w14:solidFill>
                </w14:textFill>
              </w:rPr>
              <w:t>900元/㎡</w:t>
            </w:r>
          </w:p>
        </w:tc>
        <w:tc>
          <w:tcPr>
            <w:tcW w:w="6350" w:type="dxa"/>
            <w:vAlign w:val="center"/>
          </w:tcPr>
          <w:p>
            <w:pPr>
              <w:rPr>
                <w:rFonts w:ascii="微软雅黑" w:hAnsi="微软雅黑" w:eastAsia="微软雅黑" w:cstheme="minorEastAsia"/>
                <w:bCs/>
                <w:color w:val="000000" w:themeColor="text1"/>
                <w:szCs w:val="21"/>
                <w14:textFill>
                  <w14:solidFill>
                    <w14:schemeClr w14:val="tx1"/>
                  </w14:solidFill>
                </w14:textFill>
              </w:rPr>
            </w:pPr>
            <w:r>
              <w:rPr>
                <w:rFonts w:hint="eastAsia" w:ascii="微软雅黑" w:hAnsi="微软雅黑" w:eastAsia="微软雅黑" w:cstheme="minorEastAsia"/>
                <w:bCs/>
                <w:color w:val="000000" w:themeColor="text1"/>
                <w:szCs w:val="21"/>
                <w14:textFill>
                  <w14:solidFill>
                    <w14:schemeClr w14:val="tx1"/>
                  </w14:solidFill>
                </w14:textFill>
              </w:rPr>
              <w:t>无任何设施，需自行缴付特装管理费和用电费（36平米起租）。</w:t>
            </w:r>
          </w:p>
        </w:tc>
      </w:tr>
    </w:tbl>
    <w:p>
      <w:pPr>
        <w:widowControl/>
        <w:spacing w:before="156" w:beforeLines="50" w:after="156" w:afterLines="50"/>
        <w:jc w:val="righ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18"/>
          <w:szCs w:val="18"/>
          <w:shd w:val="clear" w:color="auto" w:fill="FFFFFF"/>
          <w14:textFill>
            <w14:solidFill>
              <w14:schemeClr w14:val="tx1"/>
            </w14:solidFill>
          </w14:textFill>
        </w:rPr>
        <w:t>注：其它广告位及价格</w:t>
      </w:r>
      <w:bookmarkStart w:id="11" w:name="_Hlk489027958"/>
      <w:r>
        <w:rPr>
          <w:rFonts w:hint="eastAsia" w:ascii="微软雅黑" w:hAnsi="微软雅黑" w:eastAsia="微软雅黑" w:cstheme="minorEastAsia"/>
          <w:b/>
          <w:bCs/>
          <w:color w:val="000000" w:themeColor="text1"/>
          <w:sz w:val="18"/>
          <w:szCs w:val="18"/>
          <w:shd w:val="clear" w:color="auto" w:fill="FFFFFF"/>
          <w14:textFill>
            <w14:solidFill>
              <w14:schemeClr w14:val="tx1"/>
            </w14:solidFill>
          </w14:textFill>
        </w:rPr>
        <w:t>资料另索</w:t>
      </w:r>
      <w:bookmarkEnd w:id="11"/>
    </w:p>
    <w:p>
      <w:pPr>
        <w:rPr>
          <w:rFonts w:ascii="微软雅黑" w:hAnsi="微软雅黑" w:eastAsia="微软雅黑" w:cstheme="minorEastAsia"/>
          <w:b/>
          <w:bCs/>
          <w:color w:val="000000" w:themeColor="text1"/>
          <w:sz w:val="28"/>
          <w:szCs w:val="28"/>
          <w14:textFill>
            <w14:solidFill>
              <w14:schemeClr w14:val="tx1"/>
            </w14:solidFill>
          </w14:textFill>
        </w:rPr>
      </w:pPr>
      <w:bookmarkStart w:id="12" w:name="OLE_LINK17"/>
      <w:r>
        <w:rPr>
          <w:rFonts w:hint="eastAsia" w:ascii="微软雅黑" w:hAnsi="微软雅黑" w:eastAsia="微软雅黑" w:cstheme="minorEastAsia"/>
          <w:b/>
          <w:bCs/>
          <w:color w:val="000000" w:themeColor="text1"/>
          <w:sz w:val="28"/>
          <w:szCs w:val="28"/>
          <w14:textFill>
            <w14:solidFill>
              <w14:schemeClr w14:val="tx1"/>
            </w14:solidFill>
          </w14:textFill>
        </w:rPr>
        <w:t>为何参展</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1</w:t>
      </w:r>
      <w:r>
        <w:rPr>
          <w:rFonts w:ascii="微软雅黑" w:hAnsi="微软雅黑" w:eastAsia="微软雅黑" w:cstheme="minorEastAsia"/>
          <w:bCs/>
          <w:color w:val="000000" w:themeColor="text1"/>
          <w:sz w:val="24"/>
          <w:szCs w:val="24"/>
          <w14:textFill>
            <w14:solidFill>
              <w14:schemeClr w14:val="tx1"/>
            </w14:solidFill>
          </w14:textFill>
        </w:rPr>
        <w:t>9</w:t>
      </w:r>
      <w:r>
        <w:rPr>
          <w:rFonts w:hint="eastAsia" w:ascii="微软雅黑" w:hAnsi="微软雅黑" w:eastAsia="微软雅黑" w:cstheme="minorEastAsia"/>
          <w:bCs/>
          <w:color w:val="000000" w:themeColor="text1"/>
          <w:sz w:val="24"/>
          <w:szCs w:val="24"/>
          <w14:textFill>
            <w14:solidFill>
              <w14:schemeClr w14:val="tx1"/>
            </w14:solidFill>
          </w14:textFill>
        </w:rPr>
        <w:t>届的积累，</w:t>
      </w:r>
      <w:r>
        <w:rPr>
          <w:rFonts w:ascii="微软雅黑" w:hAnsi="微软雅黑" w:eastAsia="微软雅黑" w:cstheme="minorEastAsia"/>
          <w:bCs/>
          <w:color w:val="000000" w:themeColor="text1"/>
          <w:sz w:val="24"/>
          <w:szCs w:val="24"/>
          <w14:textFill>
            <w14:solidFill>
              <w14:schemeClr w14:val="tx1"/>
            </w14:solidFill>
          </w14:textFill>
        </w:rPr>
        <w:t>14,0000平米展出面积</w:t>
      </w:r>
      <w:r>
        <w:rPr>
          <w:rFonts w:hint="eastAsia" w:ascii="微软雅黑" w:hAnsi="微软雅黑" w:eastAsia="微软雅黑" w:cstheme="minorEastAsia"/>
          <w:bCs/>
          <w:color w:val="000000" w:themeColor="text1"/>
          <w:sz w:val="24"/>
          <w:szCs w:val="24"/>
          <w14:textFill>
            <w14:solidFill>
              <w14:schemeClr w14:val="tx1"/>
            </w14:solidFill>
          </w14:textFill>
        </w:rPr>
        <w:t>中西部规模最大、展品最全、新品最多的大家居建装行业</w:t>
      </w:r>
      <w:r>
        <w:rPr>
          <w:rFonts w:ascii="微软雅黑" w:hAnsi="微软雅黑" w:eastAsia="微软雅黑" w:cstheme="minorEastAsia"/>
          <w:bCs/>
          <w:color w:val="000000" w:themeColor="text1"/>
          <w:sz w:val="24"/>
          <w:szCs w:val="24"/>
          <w14:textFill>
            <w14:solidFill>
              <w14:schemeClr w14:val="tx1"/>
            </w14:solidFill>
          </w14:textFill>
        </w:rPr>
        <w:t>B2B</w:t>
      </w:r>
      <w:r>
        <w:rPr>
          <w:rFonts w:hint="eastAsia" w:ascii="微软雅黑" w:hAnsi="微软雅黑" w:eastAsia="微软雅黑" w:cstheme="minorEastAsia"/>
          <w:bCs/>
          <w:color w:val="000000" w:themeColor="text1"/>
          <w:sz w:val="24"/>
          <w:szCs w:val="24"/>
          <w14:textFill>
            <w14:solidFill>
              <w14:schemeClr w14:val="tx1"/>
            </w14:solidFill>
          </w14:textFill>
        </w:rPr>
        <w:t>商贸展。</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权威机构支持，携手</w:t>
      </w:r>
      <w:r>
        <w:rPr>
          <w:rFonts w:ascii="微软雅黑" w:hAnsi="微软雅黑" w:eastAsia="微软雅黑" w:cstheme="minorEastAsia"/>
          <w:bCs/>
          <w:color w:val="000000" w:themeColor="text1"/>
          <w:sz w:val="24"/>
          <w:szCs w:val="24"/>
          <w14:textFill>
            <w14:solidFill>
              <w14:schemeClr w14:val="tx1"/>
            </w14:solidFill>
          </w14:textFill>
        </w:rPr>
        <w:t>80</w:t>
      </w:r>
      <w:r>
        <w:rPr>
          <w:rFonts w:hint="eastAsia" w:ascii="微软雅黑" w:hAnsi="微软雅黑" w:eastAsia="微软雅黑" w:cstheme="minorEastAsia"/>
          <w:bCs/>
          <w:color w:val="000000" w:themeColor="text1"/>
          <w:sz w:val="24"/>
          <w:szCs w:val="24"/>
          <w14:textFill>
            <w14:solidFill>
              <w14:schemeClr w14:val="tx1"/>
            </w14:solidFill>
          </w14:textFill>
        </w:rPr>
        <w:t>+家大家居建装行业协会与合作伙伴。</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专业观众全面覆盖，汇聚中西部地区大家居行业生产厂家及经销代理商、房产开发商、装饰公司、设计院所、工程公司酒店大宗采购商、精装房工程商、建材市场、连锁卖场、电商平台等优质采购合作商。</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ascii="微软雅黑" w:hAnsi="微软雅黑" w:eastAsia="微软雅黑" w:cstheme="minorEastAsia"/>
          <w:bCs/>
          <w:color w:val="000000" w:themeColor="text1"/>
          <w:sz w:val="24"/>
          <w:szCs w:val="24"/>
          <w14:textFill>
            <w14:solidFill>
              <w14:schemeClr w14:val="tx1"/>
            </w14:solidFill>
          </w14:textFill>
        </w:rPr>
        <w:t>1600+</w:t>
      </w:r>
      <w:r>
        <w:rPr>
          <w:rFonts w:hint="eastAsia" w:ascii="微软雅黑" w:hAnsi="微软雅黑" w:eastAsia="微软雅黑" w:cstheme="minorEastAsia"/>
          <w:bCs/>
          <w:color w:val="000000" w:themeColor="text1"/>
          <w:sz w:val="24"/>
          <w:szCs w:val="24"/>
          <w14:textFill>
            <w14:solidFill>
              <w14:schemeClr w14:val="tx1"/>
            </w14:solidFill>
          </w14:textFill>
        </w:rPr>
        <w:t>家展商分馆分区，汇聚创新性技术、高端品牌企业，助您全方位收集市场和产品信息。</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ascii="微软雅黑" w:hAnsi="微软雅黑" w:eastAsia="微软雅黑" w:cstheme="minorEastAsia"/>
          <w:bCs/>
          <w:color w:val="000000" w:themeColor="text1"/>
          <w:sz w:val="24"/>
          <w:szCs w:val="24"/>
          <w14:textFill>
            <w14:solidFill>
              <w14:schemeClr w14:val="tx1"/>
            </w14:solidFill>
          </w14:textFill>
        </w:rPr>
        <w:t>20+</w:t>
      </w:r>
      <w:r>
        <w:rPr>
          <w:rFonts w:hint="eastAsia" w:ascii="微软雅黑" w:hAnsi="微软雅黑" w:eastAsia="微软雅黑" w:cstheme="minorEastAsia"/>
          <w:bCs/>
          <w:color w:val="000000" w:themeColor="text1"/>
          <w:sz w:val="24"/>
          <w:szCs w:val="24"/>
          <w14:textFill>
            <w14:solidFill>
              <w14:schemeClr w14:val="tx1"/>
            </w14:solidFill>
          </w14:textFill>
        </w:rPr>
        <w:t>场高峰论坛汇聚</w:t>
      </w:r>
      <w:r>
        <w:rPr>
          <w:rFonts w:ascii="微软雅黑" w:hAnsi="微软雅黑" w:eastAsia="微软雅黑" w:cstheme="minorEastAsia"/>
          <w:bCs/>
          <w:color w:val="000000" w:themeColor="text1"/>
          <w:sz w:val="24"/>
          <w:szCs w:val="24"/>
          <w14:textFill>
            <w14:solidFill>
              <w14:schemeClr w14:val="tx1"/>
            </w14:solidFill>
          </w14:textFill>
        </w:rPr>
        <w:t>行业前沿资讯</w:t>
      </w:r>
      <w:r>
        <w:rPr>
          <w:rFonts w:hint="eastAsia" w:ascii="微软雅黑" w:hAnsi="微软雅黑" w:eastAsia="微软雅黑" w:cstheme="minorEastAsia"/>
          <w:bCs/>
          <w:color w:val="000000" w:themeColor="text1"/>
          <w:sz w:val="24"/>
          <w:szCs w:val="24"/>
          <w14:textFill>
            <w14:solidFill>
              <w14:schemeClr w14:val="tx1"/>
            </w14:solidFill>
          </w14:textFill>
        </w:rPr>
        <w:t>、超前设计</w:t>
      </w:r>
      <w:r>
        <w:rPr>
          <w:rFonts w:ascii="微软雅黑" w:hAnsi="微软雅黑" w:eastAsia="微软雅黑" w:cstheme="minorEastAsia"/>
          <w:bCs/>
          <w:color w:val="000000" w:themeColor="text1"/>
          <w:sz w:val="24"/>
          <w:szCs w:val="24"/>
          <w14:textFill>
            <w14:solidFill>
              <w14:schemeClr w14:val="tx1"/>
            </w14:solidFill>
          </w14:textFill>
        </w:rPr>
        <w:t>理念、</w:t>
      </w:r>
      <w:r>
        <w:rPr>
          <w:rFonts w:hint="eastAsia" w:ascii="微软雅黑" w:hAnsi="微软雅黑" w:eastAsia="微软雅黑" w:cstheme="minorEastAsia"/>
          <w:bCs/>
          <w:color w:val="000000" w:themeColor="text1"/>
          <w:sz w:val="24"/>
          <w:szCs w:val="24"/>
          <w14:textFill>
            <w14:solidFill>
              <w14:schemeClr w14:val="tx1"/>
            </w14:solidFill>
          </w14:textFill>
        </w:rPr>
        <w:t>品牌新品发布的</w:t>
      </w:r>
      <w:r>
        <w:rPr>
          <w:rFonts w:ascii="微软雅黑" w:hAnsi="微软雅黑" w:eastAsia="微软雅黑" w:cstheme="minorEastAsia"/>
          <w:bCs/>
          <w:color w:val="000000" w:themeColor="text1"/>
          <w:sz w:val="24"/>
          <w:szCs w:val="24"/>
          <w14:textFill>
            <w14:solidFill>
              <w14:schemeClr w14:val="tx1"/>
            </w14:solidFill>
          </w14:textFill>
        </w:rPr>
        <w:t>饕餮盛宴。</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超强宣传渠道，线上线下全覆盖，</w:t>
      </w:r>
      <w:r>
        <w:rPr>
          <w:rFonts w:ascii="微软雅黑" w:hAnsi="微软雅黑" w:eastAsia="微软雅黑" w:cstheme="minorEastAsia"/>
          <w:bCs/>
          <w:color w:val="000000" w:themeColor="text1"/>
          <w:sz w:val="24"/>
          <w:szCs w:val="24"/>
          <w14:textFill>
            <w14:solidFill>
              <w14:schemeClr w14:val="tx1"/>
            </w14:solidFill>
          </w14:textFill>
        </w:rPr>
        <w:t>920+</w:t>
      </w:r>
      <w:r>
        <w:rPr>
          <w:rFonts w:hint="eastAsia" w:ascii="微软雅黑" w:hAnsi="微软雅黑" w:eastAsia="微软雅黑" w:cstheme="minorEastAsia"/>
          <w:bCs/>
          <w:color w:val="000000" w:themeColor="text1"/>
          <w:sz w:val="24"/>
          <w:szCs w:val="24"/>
          <w14:textFill>
            <w14:solidFill>
              <w14:schemeClr w14:val="tx1"/>
            </w14:solidFill>
          </w14:textFill>
        </w:rPr>
        <w:t>全媒体全方位报道，每年5</w:t>
      </w:r>
      <w:r>
        <w:rPr>
          <w:rFonts w:ascii="微软雅黑" w:hAnsi="微软雅黑" w:eastAsia="微软雅黑" w:cstheme="minorEastAsia"/>
          <w:bCs/>
          <w:color w:val="000000" w:themeColor="text1"/>
          <w:sz w:val="24"/>
          <w:szCs w:val="24"/>
          <w14:textFill>
            <w14:solidFill>
              <w14:schemeClr w14:val="tx1"/>
            </w14:solidFill>
          </w14:textFill>
        </w:rPr>
        <w:t>0</w:t>
      </w:r>
      <w:r>
        <w:rPr>
          <w:rFonts w:hint="eastAsia" w:ascii="微软雅黑" w:hAnsi="微软雅黑" w:eastAsia="微软雅黑" w:cstheme="minorEastAsia"/>
          <w:bCs/>
          <w:color w:val="000000" w:themeColor="text1"/>
          <w:sz w:val="24"/>
          <w:szCs w:val="24"/>
          <w14:textFill>
            <w14:solidFill>
              <w14:schemeClr w14:val="tx1"/>
            </w14:solidFill>
          </w14:textFill>
        </w:rPr>
        <w:t>余场同类展会全面覆盖推广。</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Informa</w:t>
      </w:r>
      <w:r>
        <w:rPr>
          <w:rFonts w:ascii="微软雅黑" w:hAnsi="微软雅黑" w:eastAsia="微软雅黑" w:cstheme="minorEastAsia"/>
          <w:bCs/>
          <w:color w:val="000000" w:themeColor="text1"/>
          <w:sz w:val="24"/>
          <w:szCs w:val="24"/>
          <w14:textFill>
            <w14:solidFill>
              <w14:schemeClr w14:val="tx1"/>
            </w14:solidFill>
          </w14:textFill>
        </w:rPr>
        <w:t xml:space="preserve"> </w:t>
      </w:r>
      <w:r>
        <w:rPr>
          <w:rFonts w:hint="eastAsia" w:ascii="微软雅黑" w:hAnsi="微软雅黑" w:eastAsia="微软雅黑" w:cstheme="minorEastAsia"/>
          <w:bCs/>
          <w:color w:val="000000" w:themeColor="text1"/>
          <w:sz w:val="24"/>
          <w:szCs w:val="24"/>
          <w14:textFill>
            <w14:solidFill>
              <w14:schemeClr w14:val="tx1"/>
            </w14:solidFill>
          </w14:textFill>
        </w:rPr>
        <w:t>markets国际展商资源及行业活动的引入，推动成都建博会国际化、品牌化、专业化发展步伐。</w:t>
      </w:r>
    </w:p>
    <w:bookmarkEnd w:id="12"/>
    <w:p>
      <w:pPr>
        <w:widowControl/>
        <w:spacing w:before="156" w:beforeLines="50" w:after="156" w:afterLines="50" w:line="360" w:lineRule="auto"/>
        <w:jc w:val="lef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广阔的市场前景</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西部地区辖陕西、四川、云南、贵州、广西、甘肃、青海、宁夏、西藏、新疆、内蒙古、重庆等十二个省、自治区和直辖市。土地面积681万平方公里，占全国总面积的71%；人口约3.5亿，占全国总人口的28%。西部地区疆域辽阔，大部分地区是我国经济欠发达、需要加强开发的地区。</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经济地位：四川2</w:t>
      </w:r>
      <w:r>
        <w:rPr>
          <w:rFonts w:ascii="微软雅黑" w:hAnsi="微软雅黑" w:eastAsia="微软雅黑" w:cstheme="minorEastAsia"/>
          <w:bCs/>
          <w:color w:val="000000" w:themeColor="text1"/>
          <w:sz w:val="24"/>
          <w:szCs w:val="24"/>
          <w14:textFill>
            <w14:solidFill>
              <w14:schemeClr w14:val="tx1"/>
            </w14:solidFill>
          </w14:textFill>
        </w:rPr>
        <w:t>018</w:t>
      </w:r>
      <w:r>
        <w:rPr>
          <w:rFonts w:hint="eastAsia" w:ascii="微软雅黑" w:hAnsi="微软雅黑" w:eastAsia="微软雅黑" w:cstheme="minorEastAsia"/>
          <w:bCs/>
          <w:color w:val="000000" w:themeColor="text1"/>
          <w:sz w:val="24"/>
          <w:szCs w:val="24"/>
          <w14:textFill>
            <w14:solidFill>
              <w14:schemeClr w14:val="tx1"/>
            </w14:solidFill>
          </w14:textFill>
        </w:rPr>
        <w:t>年GDP同比增长8%，经济总量突破</w:t>
      </w:r>
      <w:r>
        <w:rPr>
          <w:rFonts w:ascii="微软雅黑" w:hAnsi="微软雅黑" w:eastAsia="微软雅黑" w:cstheme="minorEastAsia"/>
          <w:bCs/>
          <w:color w:val="000000" w:themeColor="text1"/>
          <w:sz w:val="24"/>
          <w:szCs w:val="24"/>
          <w14:textFill>
            <w14:solidFill>
              <w14:schemeClr w14:val="tx1"/>
            </w14:solidFill>
          </w14:textFill>
        </w:rPr>
        <w:t>4</w:t>
      </w:r>
      <w:r>
        <w:rPr>
          <w:rFonts w:hint="eastAsia" w:ascii="微软雅黑" w:hAnsi="微软雅黑" w:eastAsia="微软雅黑" w:cstheme="minorEastAsia"/>
          <w:bCs/>
          <w:color w:val="000000" w:themeColor="text1"/>
          <w:sz w:val="24"/>
          <w:szCs w:val="24"/>
          <w14:textFill>
            <w14:solidFill>
              <w14:schemeClr w14:val="tx1"/>
            </w14:solidFill>
          </w14:textFill>
        </w:rPr>
        <w:t>万亿元，西部经济大省的地位更加突出。成都作为四川省会城市也为自己正打造的中西部综合交通枢纽提出系列规划。成都要借“一带一路”战略和长江经济带建设，将区位上的“内陆”转变为开放的“门户”，打造“向西向南”开放门户，是国务院确定的西南地区科技、商贸、金融中心和交通、通讯枢纽。</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交通环境：成都双流国际机场客货成为中西部唯一,年出入境流量突破500万人次的航空口岸。中欧班列开行数量突破1000列。随着成渝高铁、西成专线、渝贵铁路的开通，成都到西安、贵阳时间缩至3.5小时，到昆明缩至6.5小时。</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成都规划建设项目：天府新区建设、天府国际机场、国际空港新城建设、自贸试验区建设、北改推进、旧城改造、公园城市、地铁建设、城乡建设等。</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行业发展：大家居时代、全屋整装、系统门窗、暖通舒适家居、智能家居及卫浴、灯饰照明、建筑材料、装配式建筑及园林等。</w:t>
      </w:r>
    </w:p>
    <w:p>
      <w:pPr>
        <w:pStyle w:val="18"/>
        <w:numPr>
          <w:ilvl w:val="0"/>
          <w:numId w:val="1"/>
        </w:numPr>
        <w:snapToGrid w:val="0"/>
        <w:ind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城市品牌：成都塑造“三城三都”城市品牌,提升城市文化沟通能力和全球传播能力。三城：世界文化名城、世界旅游名城、世界赛事名城；三都：国际美食之都、国际音乐之都、国际会展之都。</w:t>
      </w:r>
    </w:p>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聚焦20</w:t>
      </w:r>
      <w:r>
        <w:rPr>
          <w:rFonts w:ascii="微软雅黑" w:hAnsi="微软雅黑" w:eastAsia="微软雅黑" w:cstheme="minorEastAsia"/>
          <w:b/>
          <w:bCs/>
          <w:color w:val="000000" w:themeColor="text1"/>
          <w:sz w:val="28"/>
          <w:szCs w:val="28"/>
          <w14:textFill>
            <w14:solidFill>
              <w14:schemeClr w14:val="tx1"/>
            </w14:solidFill>
          </w14:textFill>
        </w:rPr>
        <w:t>20</w:t>
      </w:r>
      <w:r>
        <w:rPr>
          <w:rFonts w:hint="eastAsia" w:ascii="微软雅黑" w:hAnsi="微软雅黑" w:eastAsia="微软雅黑" w:cstheme="minorEastAsia"/>
          <w:b/>
          <w:bCs/>
          <w:color w:val="000000" w:themeColor="text1"/>
          <w:sz w:val="28"/>
          <w:szCs w:val="28"/>
          <w14:textFill>
            <w14:solidFill>
              <w14:schemeClr w14:val="tx1"/>
            </w14:solidFill>
          </w14:textFill>
        </w:rPr>
        <w:t>·C</w:t>
      </w:r>
      <w:r>
        <w:rPr>
          <w:rFonts w:ascii="微软雅黑" w:hAnsi="微软雅黑" w:eastAsia="微软雅黑" w:cstheme="minorEastAsia"/>
          <w:b/>
          <w:bCs/>
          <w:color w:val="000000" w:themeColor="text1"/>
          <w:sz w:val="28"/>
          <w:szCs w:val="28"/>
          <w14:textFill>
            <w14:solidFill>
              <w14:schemeClr w14:val="tx1"/>
            </w14:solidFill>
          </w14:textFill>
        </w:rPr>
        <w:t>CBD</w:t>
      </w:r>
      <w:r>
        <w:rPr>
          <w:rFonts w:hint="eastAsia" w:ascii="微软雅黑" w:hAnsi="微软雅黑" w:eastAsia="微软雅黑" w:cstheme="minorEastAsia"/>
          <w:b/>
          <w:bCs/>
          <w:color w:val="000000" w:themeColor="text1"/>
          <w:sz w:val="28"/>
          <w:szCs w:val="28"/>
          <w14:textFill>
            <w14:solidFill>
              <w14:schemeClr w14:val="tx1"/>
            </w14:solidFill>
          </w14:textFill>
        </w:rPr>
        <w:t>展会优势</w:t>
      </w:r>
    </w:p>
    <w:p>
      <w:pPr>
        <w:widowControl/>
        <w:spacing w:line="360" w:lineRule="auto"/>
        <w:jc w:val="left"/>
        <w:rPr>
          <w:rFonts w:ascii="微软雅黑" w:hAnsi="微软雅黑" w:eastAsia="微软雅黑" w:cstheme="minorEastAsia"/>
          <w:b/>
          <w:color w:val="000000" w:themeColor="text1"/>
          <w:sz w:val="24"/>
          <w:szCs w:val="24"/>
          <w14:textFill>
            <w14:solidFill>
              <w14:schemeClr w14:val="tx1"/>
            </w14:solidFill>
          </w14:textFill>
        </w:rPr>
      </w:pPr>
      <w:bookmarkStart w:id="13" w:name="OLE_LINK4"/>
      <w:r>
        <w:rPr>
          <w:rFonts w:hint="eastAsia" w:ascii="微软雅黑" w:hAnsi="微软雅黑" w:eastAsia="微软雅黑" w:cstheme="minorEastAsia"/>
          <w:b/>
          <w:color w:val="000000" w:themeColor="text1"/>
          <w:sz w:val="24"/>
          <w:szCs w:val="24"/>
          <w14:textFill>
            <w14:solidFill>
              <w14:schemeClr w14:val="tx1"/>
            </w14:solidFill>
          </w14:textFill>
        </w:rPr>
        <w:t>专业团队精挑细选品质观众</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核心买家提升合作竞争力</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2</w:t>
      </w:r>
      <w:r>
        <w:rPr>
          <w:rFonts w:ascii="微软雅黑" w:hAnsi="微软雅黑" w:eastAsia="微软雅黑" w:cstheme="minorEastAsia"/>
          <w:bCs/>
          <w:color w:val="000000" w:themeColor="text1"/>
          <w:sz w:val="24"/>
          <w:szCs w:val="24"/>
          <w14:textFill>
            <w14:solidFill>
              <w14:schemeClr w14:val="tx1"/>
            </w14:solidFill>
          </w14:textFill>
        </w:rPr>
        <w:t>019</w:t>
      </w:r>
      <w:r>
        <w:rPr>
          <w:rFonts w:hint="eastAsia" w:ascii="微软雅黑" w:hAnsi="微软雅黑" w:eastAsia="微软雅黑" w:cstheme="minorEastAsia"/>
          <w:bCs/>
          <w:color w:val="000000" w:themeColor="text1"/>
          <w:sz w:val="24"/>
          <w:szCs w:val="24"/>
          <w14:textFill>
            <w14:solidFill>
              <w14:schemeClr w14:val="tx1"/>
            </w14:solidFill>
          </w14:textFill>
        </w:rPr>
        <w:t>年第十九届成都建博会全新推出“C</w:t>
      </w:r>
      <w:r>
        <w:rPr>
          <w:rFonts w:ascii="微软雅黑" w:hAnsi="微软雅黑" w:eastAsia="微软雅黑" w:cstheme="minorEastAsia"/>
          <w:bCs/>
          <w:color w:val="000000" w:themeColor="text1"/>
          <w:sz w:val="24"/>
          <w:szCs w:val="24"/>
          <w14:textFill>
            <w14:solidFill>
              <w14:schemeClr w14:val="tx1"/>
            </w14:solidFill>
          </w14:textFill>
        </w:rPr>
        <w:t>CBD</w:t>
      </w:r>
      <w:r>
        <w:rPr>
          <w:rFonts w:hint="eastAsia" w:ascii="微软雅黑" w:hAnsi="微软雅黑" w:eastAsia="微软雅黑" w:cstheme="minorEastAsia"/>
          <w:bCs/>
          <w:color w:val="000000" w:themeColor="text1"/>
          <w:sz w:val="24"/>
          <w:szCs w:val="24"/>
          <w14:textFill>
            <w14:solidFill>
              <w14:schemeClr w14:val="tx1"/>
            </w14:solidFill>
          </w14:textFill>
        </w:rPr>
        <w:t>商贸配对会”，在获悉参展商的展出产品及推广需求后，针对川、渝、云、贵等省、市8000家有大宗采购需求优质买家，房产公司、装饰工程公司及经销代理商进行一对一邀请，展会现场与相应的参展商直接对接。</w:t>
      </w:r>
      <w:bookmarkStart w:id="14" w:name="OLE_LINK15"/>
      <w:bookmarkStart w:id="15" w:name="OLE_LINK16"/>
      <w:r>
        <w:rPr>
          <w:rFonts w:hint="eastAsia" w:ascii="微软雅黑" w:hAnsi="微软雅黑" w:eastAsia="微软雅黑" w:cstheme="minorEastAsia"/>
          <w:bCs/>
          <w:color w:val="000000" w:themeColor="text1"/>
          <w:sz w:val="24"/>
          <w:szCs w:val="24"/>
          <w14:textFill>
            <w14:solidFill>
              <w14:schemeClr w14:val="tx1"/>
            </w14:solidFill>
          </w14:textFill>
        </w:rPr>
        <w:t>2</w:t>
      </w:r>
      <w:r>
        <w:rPr>
          <w:rFonts w:ascii="微软雅黑" w:hAnsi="微软雅黑" w:eastAsia="微软雅黑" w:cstheme="minorEastAsia"/>
          <w:bCs/>
          <w:color w:val="000000" w:themeColor="text1"/>
          <w:sz w:val="24"/>
          <w:szCs w:val="24"/>
          <w14:textFill>
            <w14:solidFill>
              <w14:schemeClr w14:val="tx1"/>
            </w14:solidFill>
          </w14:textFill>
        </w:rPr>
        <w:t>020</w:t>
      </w:r>
      <w:r>
        <w:rPr>
          <w:rFonts w:hint="eastAsia" w:ascii="微软雅黑" w:hAnsi="微软雅黑" w:eastAsia="微软雅黑" w:cstheme="minorEastAsia"/>
          <w:bCs/>
          <w:color w:val="000000" w:themeColor="text1"/>
          <w:sz w:val="24"/>
          <w:szCs w:val="24"/>
          <w14:textFill>
            <w14:solidFill>
              <w14:schemeClr w14:val="tx1"/>
            </w14:solidFill>
          </w14:textFill>
        </w:rPr>
        <w:t>年第二十届成都建博会将在展会现场更全面更深度的推出“C</w:t>
      </w:r>
      <w:r>
        <w:rPr>
          <w:rFonts w:ascii="微软雅黑" w:hAnsi="微软雅黑" w:eastAsia="微软雅黑" w:cstheme="minorEastAsia"/>
          <w:bCs/>
          <w:color w:val="000000" w:themeColor="text1"/>
          <w:sz w:val="24"/>
          <w:szCs w:val="24"/>
          <w14:textFill>
            <w14:solidFill>
              <w14:schemeClr w14:val="tx1"/>
            </w14:solidFill>
          </w14:textFill>
        </w:rPr>
        <w:t>CBD</w:t>
      </w:r>
      <w:r>
        <w:rPr>
          <w:rFonts w:hint="eastAsia" w:ascii="微软雅黑" w:hAnsi="微软雅黑" w:eastAsia="微软雅黑" w:cstheme="minorEastAsia"/>
          <w:bCs/>
          <w:color w:val="000000" w:themeColor="text1"/>
          <w:sz w:val="24"/>
          <w:szCs w:val="24"/>
          <w14:textFill>
            <w14:solidFill>
              <w14:schemeClr w14:val="tx1"/>
            </w14:solidFill>
          </w14:textFill>
        </w:rPr>
        <w:t>商贸精准配对会”</w:t>
      </w:r>
      <w:bookmarkEnd w:id="14"/>
      <w:bookmarkEnd w:id="15"/>
      <w:r>
        <w:rPr>
          <w:rFonts w:hint="eastAsia" w:ascii="微软雅黑" w:hAnsi="微软雅黑" w:eastAsia="微软雅黑" w:cstheme="minorEastAsia"/>
          <w:bCs/>
          <w:color w:val="000000" w:themeColor="text1"/>
          <w:sz w:val="24"/>
          <w:szCs w:val="24"/>
          <w14:textFill>
            <w14:solidFill>
              <w14:schemeClr w14:val="tx1"/>
            </w14:solidFill>
          </w14:textFill>
        </w:rPr>
        <w:t>。</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呼叫中心提升观众到场率</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拥有50余固定坐席的呼叫中心团队，将对</w:t>
      </w:r>
      <w:r>
        <w:rPr>
          <w:rFonts w:ascii="微软雅黑" w:hAnsi="微软雅黑" w:eastAsia="微软雅黑" w:cstheme="minorEastAsia"/>
          <w:bCs/>
          <w:color w:val="000000" w:themeColor="text1"/>
          <w:sz w:val="24"/>
          <w:szCs w:val="24"/>
          <w14:textFill>
            <w14:solidFill>
              <w14:schemeClr w14:val="tx1"/>
            </w14:solidFill>
          </w14:textFill>
        </w:rPr>
        <w:t>19</w:t>
      </w:r>
      <w:r>
        <w:rPr>
          <w:rFonts w:hint="eastAsia" w:ascii="微软雅黑" w:hAnsi="微软雅黑" w:eastAsia="微软雅黑" w:cstheme="minorEastAsia"/>
          <w:bCs/>
          <w:color w:val="000000" w:themeColor="text1"/>
          <w:sz w:val="24"/>
          <w:szCs w:val="24"/>
          <w14:textFill>
            <w14:solidFill>
              <w14:schemeClr w14:val="tx1"/>
            </w14:solidFill>
          </w14:textFill>
        </w:rPr>
        <w:t>年来积淀的</w:t>
      </w:r>
      <w:r>
        <w:rPr>
          <w:rFonts w:ascii="微软雅黑" w:hAnsi="微软雅黑" w:eastAsia="微软雅黑" w:cstheme="minorEastAsia"/>
          <w:bCs/>
          <w:color w:val="000000" w:themeColor="text1"/>
          <w:sz w:val="24"/>
          <w:szCs w:val="24"/>
          <w14:textFill>
            <w14:solidFill>
              <w14:schemeClr w14:val="tx1"/>
            </w14:solidFill>
          </w14:textFill>
        </w:rPr>
        <w:t>8</w:t>
      </w:r>
      <w:r>
        <w:rPr>
          <w:rFonts w:hint="eastAsia" w:ascii="微软雅黑" w:hAnsi="微软雅黑" w:eastAsia="微软雅黑" w:cstheme="minorEastAsia"/>
          <w:bCs/>
          <w:color w:val="000000" w:themeColor="text1"/>
          <w:sz w:val="24"/>
          <w:szCs w:val="24"/>
          <w14:textFill>
            <w14:solidFill>
              <w14:schemeClr w14:val="tx1"/>
            </w14:solidFill>
          </w14:textFill>
        </w:rPr>
        <w:t>00,000+条数据库中的专业买家进行电话一对一邀请。</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市场地推提升展会渗透力</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100余名市场地推团队针对川、渝、云、贵等省、市及区、县的建材商户，采取地毯式的推广成都建博会，面邀商户到会参观，全力增强巩固成都建博会的行业渗透力。</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专业组团提升观众专业度</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成都建博会十余年的发展历程中，已与川、渝、云、贵等省、市及区、县的</w:t>
      </w:r>
      <w:bookmarkStart w:id="16" w:name="OLE_LINK5"/>
      <w:bookmarkStart w:id="17" w:name="OLE_LINK6"/>
      <w:r>
        <w:rPr>
          <w:rFonts w:hint="eastAsia" w:ascii="微软雅黑" w:hAnsi="微软雅黑" w:eastAsia="微软雅黑" w:cstheme="minorEastAsia"/>
          <w:bCs/>
          <w:color w:val="000000" w:themeColor="text1"/>
          <w:sz w:val="24"/>
          <w:szCs w:val="24"/>
          <w14:textFill>
            <w14:solidFill>
              <w14:schemeClr w14:val="tx1"/>
            </w14:solidFill>
          </w14:textFill>
        </w:rPr>
        <w:t>1000余家建材装饰城，以及1</w:t>
      </w:r>
      <w:r>
        <w:rPr>
          <w:rFonts w:ascii="微软雅黑" w:hAnsi="微软雅黑" w:eastAsia="微软雅黑" w:cstheme="minorEastAsia"/>
          <w:bCs/>
          <w:color w:val="000000" w:themeColor="text1"/>
          <w:sz w:val="24"/>
          <w:szCs w:val="24"/>
          <w14:textFill>
            <w14:solidFill>
              <w14:schemeClr w14:val="tx1"/>
            </w14:solidFill>
          </w14:textFill>
        </w:rPr>
        <w:t>5</w:t>
      </w:r>
      <w:r>
        <w:rPr>
          <w:rFonts w:hint="eastAsia" w:ascii="微软雅黑" w:hAnsi="微软雅黑" w:eastAsia="微软雅黑" w:cstheme="minorEastAsia"/>
          <w:bCs/>
          <w:color w:val="000000" w:themeColor="text1"/>
          <w:sz w:val="24"/>
          <w:szCs w:val="24"/>
          <w14:textFill>
            <w14:solidFill>
              <w14:schemeClr w14:val="tx1"/>
            </w14:solidFill>
          </w14:textFill>
        </w:rPr>
        <w:t>0余家行业协会/商会、媒体单位结成合作伙伴关系</w:t>
      </w:r>
      <w:bookmarkEnd w:id="16"/>
      <w:bookmarkEnd w:id="17"/>
      <w:r>
        <w:rPr>
          <w:rFonts w:hint="eastAsia" w:ascii="微软雅黑" w:hAnsi="微软雅黑" w:eastAsia="微软雅黑" w:cstheme="minorEastAsia"/>
          <w:bCs/>
          <w:color w:val="000000" w:themeColor="text1"/>
          <w:sz w:val="24"/>
          <w:szCs w:val="24"/>
          <w14:textFill>
            <w14:solidFill>
              <w14:schemeClr w14:val="tx1"/>
            </w14:solidFill>
          </w14:textFill>
        </w:rPr>
        <w:t>。共同邀请组织商家和会员单位组团到会参观。</w:t>
      </w:r>
    </w:p>
    <w:p>
      <w:pPr>
        <w:pStyle w:val="11"/>
        <w:numPr>
          <w:ilvl w:val="0"/>
          <w:numId w:val="2"/>
        </w:numPr>
        <w:snapToGrid w:val="0"/>
        <w:ind w:left="480" w:hanging="480" w:hangingChars="200"/>
        <w:rPr>
          <w:rFonts w:ascii="微软雅黑" w:hAnsi="微软雅黑" w:eastAsia="微软雅黑" w:cstheme="minorEastAsia"/>
          <w:b/>
          <w:bCs/>
          <w:color w:val="000000" w:themeColor="text1"/>
          <w:sz w:val="24"/>
          <w:szCs w:val="24"/>
          <w14:textFill>
            <w14:solidFill>
              <w14:schemeClr w14:val="tx1"/>
            </w14:solidFill>
          </w14:textFill>
        </w:rPr>
      </w:pPr>
      <w:r>
        <w:rPr>
          <w:rFonts w:hint="eastAsia" w:ascii="微软雅黑" w:hAnsi="微软雅黑" w:eastAsia="微软雅黑" w:cstheme="minorEastAsia"/>
          <w:b/>
          <w:bCs/>
          <w:color w:val="000000" w:themeColor="text1"/>
          <w:sz w:val="24"/>
          <w:szCs w:val="24"/>
          <w14:textFill>
            <w14:solidFill>
              <w14:schemeClr w14:val="tx1"/>
            </w14:solidFill>
          </w14:textFill>
        </w:rPr>
        <w:t>全面整合资源提升行业参与力</w:t>
      </w:r>
    </w:p>
    <w:p>
      <w:pPr>
        <w:pStyle w:val="18"/>
        <w:snapToGrid w:val="0"/>
        <w:ind w:left="420" w:firstLine="0" w:firstLineChars="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通过与相关行业协会/商会、市场方、工业园区、媒体深入合作，共同主办和参与20</w:t>
      </w:r>
      <w:r>
        <w:rPr>
          <w:rFonts w:ascii="微软雅黑" w:hAnsi="微软雅黑" w:eastAsia="微软雅黑" w:cstheme="minorEastAsia"/>
          <w:bCs/>
          <w:color w:val="000000" w:themeColor="text1"/>
          <w:sz w:val="24"/>
          <w:szCs w:val="24"/>
          <w14:textFill>
            <w14:solidFill>
              <w14:schemeClr w14:val="tx1"/>
            </w14:solidFill>
          </w14:textFill>
        </w:rPr>
        <w:t>20</w:t>
      </w:r>
      <w:r>
        <w:rPr>
          <w:rFonts w:hint="eastAsia" w:ascii="微软雅黑" w:hAnsi="微软雅黑" w:eastAsia="微软雅黑" w:cstheme="minorEastAsia"/>
          <w:bCs/>
          <w:color w:val="000000" w:themeColor="text1"/>
          <w:sz w:val="24"/>
          <w:szCs w:val="24"/>
          <w14:textFill>
            <w14:solidFill>
              <w14:schemeClr w14:val="tx1"/>
            </w14:solidFill>
          </w14:textFill>
        </w:rPr>
        <w:t>成都建博会的组团参展和参观</w:t>
      </w:r>
      <w:bookmarkStart w:id="18" w:name="_Hlk488664534"/>
      <w:r>
        <w:rPr>
          <w:rFonts w:hint="eastAsia" w:ascii="微软雅黑" w:hAnsi="微软雅黑" w:eastAsia="微软雅黑" w:cstheme="minorEastAsia"/>
          <w:bCs/>
          <w:color w:val="000000" w:themeColor="text1"/>
          <w:sz w:val="24"/>
          <w:szCs w:val="24"/>
          <w14:textFill>
            <w14:solidFill>
              <w14:schemeClr w14:val="tx1"/>
            </w14:solidFill>
          </w14:textFill>
        </w:rPr>
        <w:t>，在</w:t>
      </w:r>
      <w:bookmarkEnd w:id="18"/>
      <w:r>
        <w:rPr>
          <w:rFonts w:hint="eastAsia" w:ascii="微软雅黑" w:hAnsi="微软雅黑" w:eastAsia="微软雅黑" w:cstheme="minorEastAsia"/>
          <w:bCs/>
          <w:color w:val="000000" w:themeColor="text1"/>
          <w:sz w:val="24"/>
          <w:szCs w:val="24"/>
          <w14:textFill>
            <w14:solidFill>
              <w14:schemeClr w14:val="tx1"/>
            </w14:solidFill>
          </w14:textFill>
        </w:rPr>
        <w:t>各合作单位召开的行业论坛、培训会、学术会、行业年会上做展会的全面推荐及发布；</w:t>
      </w:r>
      <w:bookmarkStart w:id="19" w:name="OLE_LINK7"/>
      <w:bookmarkStart w:id="20" w:name="OLE_LINK8"/>
      <w:r>
        <w:rPr>
          <w:rFonts w:hint="eastAsia" w:ascii="微软雅黑" w:hAnsi="微软雅黑" w:eastAsia="微软雅黑" w:cstheme="minorEastAsia"/>
          <w:bCs/>
          <w:color w:val="000000" w:themeColor="text1"/>
          <w:sz w:val="24"/>
          <w:szCs w:val="24"/>
          <w14:textFill>
            <w14:solidFill>
              <w14:schemeClr w14:val="tx1"/>
            </w14:solidFill>
          </w14:textFill>
        </w:rPr>
        <w:t>在各合作单位的资源平台上为展会做深度宣传及相关报道；同时在展会现场共同主办20</w:t>
      </w:r>
      <w:r>
        <w:rPr>
          <w:rFonts w:ascii="微软雅黑" w:hAnsi="微软雅黑" w:eastAsia="微软雅黑" w:cstheme="minorEastAsia"/>
          <w:bCs/>
          <w:color w:val="000000" w:themeColor="text1"/>
          <w:sz w:val="24"/>
          <w:szCs w:val="24"/>
          <w14:textFill>
            <w14:solidFill>
              <w14:schemeClr w14:val="tx1"/>
            </w14:solidFill>
          </w14:textFill>
        </w:rPr>
        <w:t>20</w:t>
      </w:r>
      <w:r>
        <w:rPr>
          <w:rFonts w:hint="eastAsia" w:ascii="微软雅黑" w:hAnsi="微软雅黑" w:eastAsia="微软雅黑" w:cstheme="minorEastAsia"/>
          <w:bCs/>
          <w:color w:val="000000" w:themeColor="text1"/>
          <w:sz w:val="24"/>
          <w:szCs w:val="24"/>
          <w14:textFill>
            <w14:solidFill>
              <w14:schemeClr w14:val="tx1"/>
            </w14:solidFill>
          </w14:textFill>
        </w:rPr>
        <w:t>行业高峰论坛</w:t>
      </w:r>
      <w:bookmarkEnd w:id="19"/>
      <w:bookmarkEnd w:id="20"/>
      <w:r>
        <w:rPr>
          <w:rFonts w:hint="eastAsia" w:ascii="微软雅黑" w:hAnsi="微软雅黑" w:eastAsia="微软雅黑" w:cstheme="minorEastAsia"/>
          <w:bCs/>
          <w:color w:val="000000" w:themeColor="text1"/>
          <w:sz w:val="24"/>
          <w:szCs w:val="24"/>
          <w14:textFill>
            <w14:solidFill>
              <w14:schemeClr w14:val="tx1"/>
            </w14:solidFill>
          </w14:textFill>
        </w:rPr>
        <w:t>。</w:t>
      </w:r>
    </w:p>
    <w:bookmarkEnd w:id="13"/>
    <w:p>
      <w:pPr>
        <w:widowControl/>
        <w:snapToGrid w:val="0"/>
        <w:spacing w:before="156" w:beforeLines="50"/>
        <w:jc w:val="left"/>
        <w:rPr>
          <w:rFonts w:ascii="微软雅黑" w:hAnsi="微软雅黑" w:eastAsia="微软雅黑" w:cstheme="minorEastAsia"/>
          <w:b/>
          <w:color w:val="000000" w:themeColor="text1"/>
          <w:sz w:val="24"/>
          <w:szCs w:val="24"/>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深度推广宣传覆盖最大化</w:t>
      </w:r>
    </w:p>
    <w:p>
      <w:pPr>
        <w:pStyle w:val="18"/>
        <w:snapToGrid w:val="0"/>
        <w:ind w:firstLine="48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20</w:t>
      </w:r>
      <w:r>
        <w:rPr>
          <w:rFonts w:ascii="微软雅黑" w:hAnsi="微软雅黑" w:eastAsia="微软雅黑" w:cstheme="minorEastAsia"/>
          <w:bCs/>
          <w:color w:val="000000" w:themeColor="text1"/>
          <w:sz w:val="24"/>
          <w:szCs w:val="24"/>
          <w14:textFill>
            <w14:solidFill>
              <w14:schemeClr w14:val="tx1"/>
            </w14:solidFill>
          </w14:textFill>
        </w:rPr>
        <w:t>20</w:t>
      </w:r>
      <w:r>
        <w:rPr>
          <w:rFonts w:hint="eastAsia" w:ascii="微软雅黑" w:hAnsi="微软雅黑" w:eastAsia="微软雅黑" w:cstheme="minorEastAsia"/>
          <w:bCs/>
          <w:color w:val="000000" w:themeColor="text1"/>
          <w:sz w:val="24"/>
          <w:szCs w:val="24"/>
          <w14:textFill>
            <w14:solidFill>
              <w14:schemeClr w14:val="tx1"/>
            </w14:solidFill>
          </w14:textFill>
        </w:rPr>
        <w:t>成都建博会将通过线上线下、展商专业观众互动等全方位多角度的宣传渠道，除传统宣传方式外，将运用更多新媒体、新形式深度宣传，以确保专业买家到场质量，展商实现贸易合作与品牌推广双赢。</w:t>
      </w:r>
    </w:p>
    <w:p>
      <w:pPr>
        <w:widowControl/>
        <w:snapToGrid w:val="0"/>
        <w:rPr>
          <w:rFonts w:ascii="微软雅黑" w:hAnsi="微软雅黑" w:eastAsia="微软雅黑" w:cstheme="minorEastAsia"/>
          <w:b/>
          <w:bCs/>
          <w:color w:val="000000" w:themeColor="text1"/>
          <w:kern w:val="0"/>
          <w:sz w:val="24"/>
          <w:szCs w:val="24"/>
          <w14:textFill>
            <w14:solidFill>
              <w14:schemeClr w14:val="tx1"/>
            </w14:solidFill>
          </w14:textFill>
        </w:rPr>
      </w:pPr>
      <w:r>
        <w:rPr>
          <w:rFonts w:hint="eastAsia" w:ascii="微软雅黑" w:hAnsi="微软雅黑" w:eastAsia="微软雅黑" w:cstheme="minorEastAsia"/>
          <w:b/>
          <w:bCs/>
          <w:color w:val="000000" w:themeColor="text1"/>
          <w:kern w:val="0"/>
          <w:sz w:val="24"/>
          <w:szCs w:val="24"/>
          <w14:textFill>
            <w14:solidFill>
              <w14:schemeClr w14:val="tx1"/>
            </w14:solidFill>
          </w14:textFill>
        </w:rPr>
        <w:t>展讯推送：</w:t>
      </w:r>
      <w:r>
        <w:rPr>
          <w:rFonts w:hint="eastAsia" w:ascii="微软雅黑" w:hAnsi="微软雅黑" w:eastAsia="微软雅黑" w:cstheme="minorEastAsia"/>
          <w:bCs/>
          <w:color w:val="000000" w:themeColor="text1"/>
          <w:kern w:val="0"/>
          <w:sz w:val="24"/>
          <w:szCs w:val="24"/>
          <w14:textFill>
            <w14:solidFill>
              <w14:schemeClr w14:val="tx1"/>
            </w14:solidFill>
          </w14:textFill>
        </w:rPr>
        <w:t>直邮、短信、邮件、展商定制H5</w:t>
      </w:r>
    </w:p>
    <w:p>
      <w:pPr>
        <w:widowControl/>
        <w:snapToGrid w:val="0"/>
        <w:ind w:left="1920" w:hanging="1921" w:hangingChars="800"/>
        <w:rPr>
          <w:rFonts w:ascii="微软雅黑" w:hAnsi="微软雅黑" w:eastAsia="微软雅黑" w:cstheme="minorEastAsia"/>
          <w:bCs/>
          <w:color w:val="000000" w:themeColor="text1"/>
          <w:kern w:val="0"/>
          <w:sz w:val="24"/>
          <w:szCs w:val="24"/>
          <w14:textFill>
            <w14:solidFill>
              <w14:schemeClr w14:val="tx1"/>
            </w14:solidFill>
          </w14:textFill>
        </w:rPr>
      </w:pPr>
      <w:r>
        <w:rPr>
          <w:rFonts w:hint="eastAsia" w:ascii="微软雅黑" w:hAnsi="微软雅黑" w:eastAsia="微软雅黑" w:cstheme="minorEastAsia"/>
          <w:b/>
          <w:bCs/>
          <w:color w:val="000000" w:themeColor="text1"/>
          <w:kern w:val="0"/>
          <w:sz w:val="24"/>
          <w:szCs w:val="24"/>
          <w14:textFill>
            <w14:solidFill>
              <w14:schemeClr w14:val="tx1"/>
            </w14:solidFill>
          </w14:textFill>
        </w:rPr>
        <w:t>新媒体平台推广：</w:t>
      </w:r>
      <w:r>
        <w:rPr>
          <w:rFonts w:hint="eastAsia" w:ascii="微软雅黑" w:hAnsi="微软雅黑" w:eastAsia="微软雅黑" w:cstheme="minorEastAsia"/>
          <w:bCs/>
          <w:color w:val="000000" w:themeColor="text1"/>
          <w:kern w:val="0"/>
          <w:sz w:val="24"/>
          <w:szCs w:val="24"/>
          <w14:textFill>
            <w14:solidFill>
              <w14:schemeClr w14:val="tx1"/>
            </w14:solidFill>
          </w14:textFill>
        </w:rPr>
        <w:t>微信订阅号、服务号，微博，LBS精准投放（AD7），DSP大数据精准投放（双端投放），百度SEM、360SEM，百度、阿里、腾讯网盟的精准广告投放</w:t>
      </w:r>
    </w:p>
    <w:p>
      <w:pPr>
        <w:widowControl/>
        <w:snapToGrid w:val="0"/>
        <w:rPr>
          <w:rFonts w:ascii="微软雅黑" w:hAnsi="微软雅黑" w:eastAsia="微软雅黑" w:cstheme="minorEastAsia"/>
          <w:bCs/>
          <w:color w:val="000000" w:themeColor="text1"/>
          <w:kern w:val="0"/>
          <w:sz w:val="24"/>
          <w:szCs w:val="24"/>
          <w14:textFill>
            <w14:solidFill>
              <w14:schemeClr w14:val="tx1"/>
            </w14:solidFill>
          </w14:textFill>
        </w:rPr>
      </w:pPr>
      <w:r>
        <w:rPr>
          <w:rFonts w:hint="eastAsia" w:ascii="微软雅黑" w:hAnsi="微软雅黑" w:eastAsia="微软雅黑" w:cstheme="minorEastAsia"/>
          <w:b/>
          <w:bCs/>
          <w:color w:val="000000" w:themeColor="text1"/>
          <w:kern w:val="0"/>
          <w:sz w:val="24"/>
          <w:szCs w:val="24"/>
          <w14:textFill>
            <w14:solidFill>
              <w14:schemeClr w14:val="tx1"/>
            </w14:solidFill>
          </w14:textFill>
        </w:rPr>
        <w:t>媒体传播：</w:t>
      </w:r>
      <w:r>
        <w:rPr>
          <w:rFonts w:hint="eastAsia" w:ascii="微软雅黑" w:hAnsi="微软雅黑" w:eastAsia="微软雅黑" w:cstheme="minorEastAsia"/>
          <w:bCs/>
          <w:color w:val="000000" w:themeColor="text1"/>
          <w:kern w:val="0"/>
          <w:sz w:val="24"/>
          <w:szCs w:val="24"/>
          <w14:textFill>
            <w14:solidFill>
              <w14:schemeClr w14:val="tx1"/>
            </w14:solidFill>
          </w14:textFill>
        </w:rPr>
        <w:t>500+行业网络媒体合作、100+行业专业刊物、300+专业公众媒体、20+大众报纸电视台</w:t>
      </w:r>
    </w:p>
    <w:p>
      <w:pPr>
        <w:widowControl/>
        <w:snapToGrid w:val="0"/>
        <w:rPr>
          <w:rFonts w:ascii="微软雅黑" w:hAnsi="微软雅黑" w:eastAsia="微软雅黑" w:cstheme="minorEastAsia"/>
          <w:bCs/>
          <w:color w:val="000000" w:themeColor="text1"/>
          <w:kern w:val="0"/>
          <w:sz w:val="24"/>
          <w:szCs w:val="24"/>
          <w14:textFill>
            <w14:solidFill>
              <w14:schemeClr w14:val="tx1"/>
            </w14:solidFill>
          </w14:textFill>
        </w:rPr>
      </w:pPr>
      <w:r>
        <w:rPr>
          <w:rFonts w:hint="eastAsia" w:ascii="微软雅黑" w:hAnsi="微软雅黑" w:eastAsia="微软雅黑" w:cstheme="minorEastAsia"/>
          <w:b/>
          <w:bCs/>
          <w:color w:val="000000" w:themeColor="text1"/>
          <w:kern w:val="0"/>
          <w:sz w:val="24"/>
          <w:szCs w:val="24"/>
          <w14:textFill>
            <w14:solidFill>
              <w14:schemeClr w14:val="tx1"/>
            </w14:solidFill>
          </w14:textFill>
        </w:rPr>
        <w:t>行业媒体：</w:t>
      </w:r>
      <w:r>
        <w:rPr>
          <w:rFonts w:hint="eastAsia" w:ascii="微软雅黑" w:hAnsi="微软雅黑" w:eastAsia="微软雅黑" w:cstheme="minorEastAsia"/>
          <w:bCs/>
          <w:color w:val="000000" w:themeColor="text1"/>
          <w:kern w:val="0"/>
          <w:sz w:val="24"/>
          <w:szCs w:val="24"/>
          <w14:textFill>
            <w14:solidFill>
              <w14:schemeClr w14:val="tx1"/>
            </w14:solidFill>
          </w14:textFill>
        </w:rPr>
        <w:t>九正建材、建材商界、中华建材网、中国建材网、锋镝传媒、中华门窗网、搜门网、中国优建材网、慧亚传媒-家居热线、家具专区网、中外涂料、《保温、砂浆、涂料》杂志、《智哪儿》、《中国林业产业》、舒适e家、家居e商、金觉传媒等</w:t>
      </w:r>
    </w:p>
    <w:p>
      <w:pPr>
        <w:widowControl/>
        <w:snapToGrid w:val="0"/>
        <w:jc w:val="left"/>
        <w:rPr>
          <w:rFonts w:ascii="微软雅黑" w:hAnsi="微软雅黑" w:eastAsia="微软雅黑" w:cs="Times New Roman"/>
          <w:color w:val="000000" w:themeColor="text1"/>
          <w:kern w:val="0"/>
          <w:sz w:val="24"/>
          <w:szCs w:val="24"/>
          <w14:textFill>
            <w14:solidFill>
              <w14:schemeClr w14:val="tx1"/>
            </w14:solidFill>
          </w14:textFill>
        </w:rPr>
      </w:pPr>
      <w:r>
        <w:rPr>
          <w:rFonts w:hint="eastAsia" w:ascii="微软雅黑" w:hAnsi="微软雅黑" w:eastAsia="微软雅黑" w:cs="Times New Roman"/>
          <w:b/>
          <w:bCs/>
          <w:color w:val="000000" w:themeColor="text1"/>
          <w:kern w:val="0"/>
          <w:sz w:val="24"/>
          <w:szCs w:val="24"/>
          <w14:textFill>
            <w14:solidFill>
              <w14:schemeClr w14:val="tx1"/>
            </w14:solidFill>
          </w14:textFill>
        </w:rPr>
        <w:t>大众媒体宣传：</w:t>
      </w:r>
      <w:r>
        <w:rPr>
          <w:rFonts w:hint="eastAsia" w:ascii="微软雅黑" w:hAnsi="微软雅黑" w:eastAsia="微软雅黑" w:cs="Times New Roman"/>
          <w:color w:val="000000" w:themeColor="text1"/>
          <w:kern w:val="0"/>
          <w:sz w:val="24"/>
          <w:szCs w:val="24"/>
          <w14:textFill>
            <w14:solidFill>
              <w14:schemeClr w14:val="tx1"/>
            </w14:solidFill>
          </w14:textFill>
        </w:rPr>
        <w:t xml:space="preserve">如：四川三台、四川四台、成都一台、成都三台、成都五台、四川卫视、《成都日报》、《成都商报》、《成都晚报》、新浪、中国网、搜狐新闻、华西都市网、四川经济日报、封面新闻、四川新闻网、腾讯、今日头条、网易新闻等省市电视台进行广告合作和展会新闻报道。 </w:t>
      </w:r>
    </w:p>
    <w:p>
      <w:pPr>
        <w:widowControl/>
        <w:snapToGrid w:val="0"/>
        <w:jc w:val="left"/>
        <w:rPr>
          <w:rFonts w:ascii="微软雅黑" w:hAnsi="微软雅黑" w:eastAsia="微软雅黑" w:cs="Times New Roman"/>
          <w:color w:val="000000" w:themeColor="text1"/>
          <w:kern w:val="0"/>
          <w:sz w:val="24"/>
          <w:szCs w:val="24"/>
          <w14:textFill>
            <w14:solidFill>
              <w14:schemeClr w14:val="tx1"/>
            </w14:solidFill>
          </w14:textFill>
        </w:rPr>
      </w:pPr>
      <w:r>
        <w:rPr>
          <w:rFonts w:hint="eastAsia" w:ascii="微软雅黑" w:hAnsi="微软雅黑" w:eastAsia="微软雅黑" w:cs="Times New Roman"/>
          <w:b/>
          <w:bCs/>
          <w:color w:val="000000" w:themeColor="text1"/>
          <w:kern w:val="0"/>
          <w:sz w:val="24"/>
          <w:szCs w:val="24"/>
          <w14:textFill>
            <w14:solidFill>
              <w14:schemeClr w14:val="tx1"/>
            </w14:solidFill>
          </w14:textFill>
        </w:rPr>
        <w:t>户外广告：</w:t>
      </w:r>
      <w:r>
        <w:rPr>
          <w:rFonts w:hint="eastAsia" w:ascii="微软雅黑" w:hAnsi="微软雅黑" w:eastAsia="微软雅黑" w:cs="Times New Roman"/>
          <w:color w:val="000000" w:themeColor="text1"/>
          <w:kern w:val="0"/>
          <w:sz w:val="24"/>
          <w:szCs w:val="24"/>
          <w14:textFill>
            <w14:solidFill>
              <w14:schemeClr w14:val="tx1"/>
            </w14:solidFill>
          </w14:textFill>
        </w:rPr>
        <w:t>在四川、重庆、云南、贵州等省市的装饰城、建材市场、建材产业园区发布户外广告。</w:t>
      </w:r>
      <w:bookmarkStart w:id="21" w:name="_Hlk489534938"/>
    </w:p>
    <w:p>
      <w:pPr>
        <w:jc w:val="left"/>
        <w:rPr>
          <w:rFonts w:ascii="微软雅黑" w:hAnsi="微软雅黑" w:eastAsia="微软雅黑" w:cstheme="minorEastAsia"/>
          <w:b/>
          <w:bCs/>
          <w:color w:val="000000" w:themeColor="text1"/>
          <w:sz w:val="18"/>
          <w:szCs w:val="18"/>
          <w14:textFill>
            <w14:solidFill>
              <w14:schemeClr w14:val="tx1"/>
            </w14:solidFill>
          </w14:textFill>
        </w:rPr>
      </w:pPr>
      <w:r>
        <w:rPr>
          <w:rFonts w:hint="eastAsia" w:ascii="微软雅黑" w:hAnsi="微软雅黑" w:eastAsia="微软雅黑" w:cstheme="minorEastAsia"/>
          <w:b/>
          <w:color w:val="000000" w:themeColor="text1"/>
          <w:sz w:val="24"/>
          <w:szCs w:val="24"/>
          <w14:textFill>
            <w14:solidFill>
              <w14:schemeClr w14:val="tx1"/>
            </w14:solidFill>
          </w14:textFill>
        </w:rPr>
        <w:t>2</w:t>
      </w:r>
      <w:r>
        <w:rPr>
          <w:rFonts w:ascii="微软雅黑" w:hAnsi="微软雅黑" w:eastAsia="微软雅黑" w:cstheme="minorEastAsia"/>
          <w:b/>
          <w:color w:val="000000" w:themeColor="text1"/>
          <w:sz w:val="24"/>
          <w:szCs w:val="24"/>
          <w14:textFill>
            <w14:solidFill>
              <w14:schemeClr w14:val="tx1"/>
            </w14:solidFill>
          </w14:textFill>
        </w:rPr>
        <w:t>0+</w:t>
      </w:r>
      <w:r>
        <w:rPr>
          <w:rFonts w:hint="eastAsia" w:ascii="微软雅黑" w:hAnsi="微软雅黑" w:eastAsia="微软雅黑" w:cstheme="minorEastAsia"/>
          <w:b/>
          <w:color w:val="000000" w:themeColor="text1"/>
          <w:sz w:val="24"/>
          <w:szCs w:val="24"/>
          <w14:textFill>
            <w14:solidFill>
              <w14:schemeClr w14:val="tx1"/>
            </w14:solidFill>
          </w14:textFill>
        </w:rPr>
        <w:t xml:space="preserve">场论坛活动 </w:t>
      </w:r>
      <w:r>
        <w:rPr>
          <w:rFonts w:ascii="微软雅黑" w:hAnsi="微软雅黑" w:eastAsia="微软雅黑" w:cstheme="minorEastAsia"/>
          <w:b/>
          <w:color w:val="000000" w:themeColor="text1"/>
          <w:sz w:val="24"/>
          <w:szCs w:val="24"/>
          <w14:textFill>
            <w14:solidFill>
              <w14:schemeClr w14:val="tx1"/>
            </w14:solidFill>
          </w14:textFill>
        </w:rPr>
        <w:t xml:space="preserve">                                                </w:t>
      </w:r>
      <w:r>
        <w:rPr>
          <w:rFonts w:hint="eastAsia" w:ascii="微软雅黑" w:hAnsi="微软雅黑" w:eastAsia="微软雅黑" w:cstheme="minorEastAsia"/>
          <w:b/>
          <w:bCs/>
          <w:color w:val="000000" w:themeColor="text1"/>
          <w:sz w:val="18"/>
          <w:szCs w:val="18"/>
          <w14:textFill>
            <w14:solidFill>
              <w14:schemeClr w14:val="tx1"/>
            </w14:solidFill>
          </w14:textFill>
        </w:rPr>
        <w:t>同期活动陆续更新中</w:t>
      </w:r>
      <w:r>
        <w:rPr>
          <w:rFonts w:ascii="微软雅黑" w:hAnsi="微软雅黑" w:eastAsia="微软雅黑" w:cstheme="minorEastAsia"/>
          <w:b/>
          <w:bCs/>
          <w:color w:val="000000" w:themeColor="text1"/>
          <w:sz w:val="18"/>
          <w:szCs w:val="18"/>
          <w14:textFill>
            <w14:solidFill>
              <w14:schemeClr w14:val="tx1"/>
            </w14:solidFill>
          </w14:textFill>
        </w:rPr>
        <w:t>……</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03"/>
        <w:gridCol w:w="363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noWrap/>
            <w:vAlign w:val="center"/>
          </w:tcPr>
          <w:p>
            <w:pPr>
              <w:rPr>
                <w:rFonts w:ascii="华文细黑" w:hAnsi="华文细黑" w:eastAsia="华文细黑"/>
              </w:rPr>
            </w:pPr>
            <w:r>
              <w:rPr>
                <w:rFonts w:hint="eastAsia" w:ascii="华文细黑" w:hAnsi="华文细黑" w:eastAsia="华文细黑"/>
              </w:rPr>
              <w:t>活动名称</w:t>
            </w:r>
          </w:p>
        </w:tc>
        <w:tc>
          <w:tcPr>
            <w:tcW w:w="3631" w:type="dxa"/>
            <w:noWrap/>
            <w:vAlign w:val="center"/>
          </w:tcPr>
          <w:p>
            <w:pPr>
              <w:rPr>
                <w:rFonts w:ascii="华文细黑" w:hAnsi="华文细黑" w:eastAsia="华文细黑"/>
              </w:rPr>
            </w:pPr>
            <w:r>
              <w:rPr>
                <w:rFonts w:hint="eastAsia" w:ascii="华文细黑" w:hAnsi="华文细黑" w:eastAsia="华文细黑"/>
              </w:rPr>
              <w:t>主办单位</w:t>
            </w:r>
          </w:p>
        </w:tc>
        <w:tc>
          <w:tcPr>
            <w:tcW w:w="1309" w:type="dxa"/>
            <w:noWrap/>
            <w:vAlign w:val="center"/>
          </w:tcPr>
          <w:p>
            <w:pPr>
              <w:rPr>
                <w:rFonts w:ascii="华文细黑" w:hAnsi="华文细黑" w:eastAsia="华文细黑"/>
              </w:rPr>
            </w:pPr>
            <w:r>
              <w:rPr>
                <w:rFonts w:hint="eastAsia" w:ascii="华文细黑" w:hAnsi="华文细黑" w:eastAsia="华文细黑"/>
              </w:rPr>
              <w:t>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2020年中国晶鲲鹏设计大赛颁奖盛典、高峰论坛及优秀作品展示</w:t>
            </w:r>
          </w:p>
        </w:tc>
        <w:tc>
          <w:tcPr>
            <w:tcW w:w="3631" w:type="dxa"/>
            <w:vAlign w:val="center"/>
          </w:tcPr>
          <w:p>
            <w:pPr>
              <w:rPr>
                <w:rFonts w:ascii="华文细黑" w:hAnsi="华文细黑" w:eastAsia="华文细黑"/>
              </w:rPr>
            </w:pPr>
            <w:r>
              <w:rPr>
                <w:rFonts w:hint="eastAsia" w:ascii="华文细黑" w:hAnsi="华文细黑" w:eastAsia="华文细黑"/>
              </w:rPr>
              <w:t>指导单位：四川省经济和信息化厅、中国室内装饰协会、中国国际文化促进会</w:t>
            </w:r>
            <w:r>
              <w:rPr>
                <w:rFonts w:hint="eastAsia" w:ascii="华文细黑" w:hAnsi="华文细黑" w:eastAsia="华文细黑"/>
              </w:rPr>
              <w:br w:type="textWrapping"/>
            </w:r>
            <w:r>
              <w:rPr>
                <w:rFonts w:hint="eastAsia" w:ascii="华文细黑" w:hAnsi="华文细黑" w:eastAsia="华文细黑"/>
              </w:rPr>
              <w:t>主办单位：四川省室内装饰协会陈设艺术委员会</w:t>
            </w:r>
          </w:p>
        </w:tc>
        <w:tc>
          <w:tcPr>
            <w:tcW w:w="1309" w:type="dxa"/>
            <w:noWrap/>
            <w:vAlign w:val="center"/>
          </w:tcPr>
          <w:p>
            <w:pPr>
              <w:rPr>
                <w:rFonts w:ascii="华文细黑" w:hAnsi="华文细黑" w:eastAsia="华文细黑"/>
              </w:rPr>
            </w:pPr>
            <w:r>
              <w:rPr>
                <w:rFonts w:hint="eastAsia" w:ascii="华文细黑" w:hAnsi="华文细黑" w:eastAsia="华文细黑"/>
              </w:rPr>
              <w:t>1</w:t>
            </w:r>
            <w:r>
              <w:rPr>
                <w:rFonts w:ascii="华文细黑" w:hAnsi="华文细黑" w:eastAsia="华文细黑"/>
              </w:rPr>
              <w:t>200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“2020建材家居门店&amp;终端零售营销峰会”</w:t>
            </w:r>
          </w:p>
        </w:tc>
        <w:tc>
          <w:tcPr>
            <w:tcW w:w="3631" w:type="dxa"/>
            <w:noWrap/>
            <w:vAlign w:val="center"/>
          </w:tcPr>
          <w:p>
            <w:pPr>
              <w:rPr>
                <w:rFonts w:ascii="华文细黑" w:hAnsi="华文细黑" w:eastAsia="华文细黑"/>
              </w:rPr>
            </w:pPr>
            <w:r>
              <w:rPr>
                <w:rFonts w:hint="eastAsia" w:ascii="华文细黑" w:hAnsi="华文细黑" w:eastAsia="华文细黑"/>
              </w:rPr>
              <w:t>京东家装、巨量引擎</w:t>
            </w:r>
          </w:p>
        </w:tc>
        <w:tc>
          <w:tcPr>
            <w:tcW w:w="1309" w:type="dxa"/>
            <w:noWrap/>
            <w:vAlign w:val="center"/>
          </w:tcPr>
          <w:p>
            <w:pPr>
              <w:rPr>
                <w:rFonts w:ascii="华文细黑" w:hAnsi="华文细黑" w:eastAsia="华文细黑"/>
              </w:rPr>
            </w:pPr>
            <w:r>
              <w:rPr>
                <w:rFonts w:ascii="华文细黑" w:hAnsi="华文细黑" w:eastAsia="华文细黑"/>
              </w:rPr>
              <w:t>300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2020中国（西部）家居智能制造高峰论坛</w:t>
            </w:r>
          </w:p>
        </w:tc>
        <w:tc>
          <w:tcPr>
            <w:tcW w:w="3631" w:type="dxa"/>
            <w:noWrap/>
            <w:vAlign w:val="center"/>
          </w:tcPr>
          <w:p>
            <w:pPr>
              <w:rPr>
                <w:rFonts w:ascii="华文细黑" w:hAnsi="华文细黑" w:eastAsia="华文细黑"/>
              </w:rPr>
            </w:pPr>
            <w:r>
              <w:rPr>
                <w:rFonts w:hint="eastAsia" w:ascii="华文细黑" w:hAnsi="华文细黑" w:eastAsia="华文细黑"/>
              </w:rPr>
              <w:t>家居智造（行业首家专注家居企业数字化的新媒体）</w:t>
            </w:r>
          </w:p>
        </w:tc>
        <w:tc>
          <w:tcPr>
            <w:tcW w:w="1309" w:type="dxa"/>
            <w:noWrap/>
            <w:vAlign w:val="center"/>
          </w:tcPr>
          <w:p>
            <w:pPr>
              <w:rPr>
                <w:rFonts w:ascii="华文细黑" w:hAnsi="华文细黑" w:eastAsia="华文细黑"/>
              </w:rPr>
            </w:pPr>
            <w:r>
              <w:rPr>
                <w:rFonts w:ascii="华文细黑" w:hAnsi="华文细黑" w:eastAsia="华文细黑"/>
              </w:rPr>
              <w:t>300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2020成都建博会一对一商贸对接会</w:t>
            </w:r>
          </w:p>
        </w:tc>
        <w:tc>
          <w:tcPr>
            <w:tcW w:w="3631" w:type="dxa"/>
            <w:noWrap/>
            <w:vAlign w:val="center"/>
          </w:tcPr>
          <w:p>
            <w:pPr>
              <w:rPr>
                <w:rFonts w:ascii="华文细黑" w:hAnsi="华文细黑" w:eastAsia="华文细黑"/>
              </w:rPr>
            </w:pPr>
            <w:r>
              <w:rPr>
                <w:rFonts w:hint="eastAsia" w:ascii="华文细黑" w:hAnsi="华文细黑" w:eastAsia="华文细黑"/>
              </w:rPr>
              <w:t>英富曼天一展览（成都）有限公司</w:t>
            </w:r>
          </w:p>
        </w:tc>
        <w:tc>
          <w:tcPr>
            <w:tcW w:w="1309" w:type="dxa"/>
            <w:noWrap/>
            <w:vAlign w:val="center"/>
          </w:tcPr>
          <w:p>
            <w:pPr>
              <w:rPr>
                <w:rFonts w:ascii="华文细黑" w:hAnsi="华文细黑" w:eastAsia="华文细黑"/>
              </w:rPr>
            </w:pPr>
            <w:r>
              <w:rPr>
                <w:rFonts w:ascii="华文细黑" w:hAnsi="华文细黑" w:eastAsia="华文细黑"/>
              </w:rPr>
              <w:t>200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“2020中西部建筑供采对接会”专场</w:t>
            </w:r>
          </w:p>
        </w:tc>
        <w:tc>
          <w:tcPr>
            <w:tcW w:w="3631" w:type="dxa"/>
            <w:noWrap/>
            <w:vAlign w:val="center"/>
          </w:tcPr>
          <w:p>
            <w:pPr>
              <w:rPr>
                <w:rFonts w:ascii="华文细黑" w:hAnsi="华文细黑" w:eastAsia="华文细黑"/>
              </w:rPr>
            </w:pPr>
            <w:r>
              <w:rPr>
                <w:rFonts w:hint="eastAsia" w:ascii="华文细黑" w:hAnsi="华文细黑" w:eastAsia="华文细黑"/>
              </w:rPr>
              <w:t>广联达科技股份有限公司</w:t>
            </w:r>
          </w:p>
        </w:tc>
        <w:tc>
          <w:tcPr>
            <w:tcW w:w="1309" w:type="dxa"/>
            <w:noWrap/>
            <w:vAlign w:val="center"/>
          </w:tcPr>
          <w:p>
            <w:pPr>
              <w:rPr>
                <w:rFonts w:ascii="华文细黑" w:hAnsi="华文细黑" w:eastAsia="华文细黑"/>
              </w:rPr>
            </w:pPr>
            <w:r>
              <w:rPr>
                <w:rFonts w:ascii="华文细黑" w:hAnsi="华文细黑" w:eastAsia="华文细黑"/>
              </w:rPr>
              <w:t>300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艾景奖·国际园林景观规划设计大会作品展示</w:t>
            </w:r>
          </w:p>
        </w:tc>
        <w:tc>
          <w:tcPr>
            <w:tcW w:w="3631" w:type="dxa"/>
            <w:vAlign w:val="center"/>
          </w:tcPr>
          <w:p>
            <w:pPr>
              <w:rPr>
                <w:rFonts w:ascii="华文细黑" w:hAnsi="华文细黑" w:eastAsia="华文细黑"/>
              </w:rPr>
            </w:pPr>
            <w:r>
              <w:rPr>
                <w:rFonts w:hint="eastAsia" w:ascii="华文细黑" w:hAnsi="华文细黑" w:eastAsia="华文细黑"/>
              </w:rPr>
              <w:t>艾景奖建筑科学研究院</w:t>
            </w:r>
          </w:p>
        </w:tc>
        <w:tc>
          <w:tcPr>
            <w:tcW w:w="1309" w:type="dxa"/>
            <w:noWrap/>
            <w:vAlign w:val="center"/>
          </w:tcPr>
          <w:p>
            <w:pPr>
              <w:rPr>
                <w:rFonts w:ascii="华文细黑" w:hAnsi="华文细黑" w:eastAsia="华文细黑"/>
              </w:rPr>
            </w:pPr>
            <w:r>
              <w:rPr>
                <w:rFonts w:ascii="华文细黑" w:hAnsi="华文细黑" w:eastAsia="华文细黑"/>
              </w:rPr>
              <w:t>300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世界人居环境科学发展（成都）高峰论坛</w:t>
            </w:r>
          </w:p>
        </w:tc>
        <w:tc>
          <w:tcPr>
            <w:tcW w:w="3631" w:type="dxa"/>
            <w:vAlign w:val="center"/>
          </w:tcPr>
          <w:p>
            <w:pPr>
              <w:rPr>
                <w:rFonts w:ascii="华文细黑" w:hAnsi="华文细黑" w:eastAsia="华文细黑"/>
              </w:rPr>
            </w:pPr>
            <w:r>
              <w:rPr>
                <w:rFonts w:hint="eastAsia" w:ascii="华文细黑" w:hAnsi="华文细黑" w:eastAsia="华文细黑"/>
              </w:rPr>
              <w:t>世界人居环境科学研究院</w:t>
            </w:r>
          </w:p>
        </w:tc>
        <w:tc>
          <w:tcPr>
            <w:tcW w:w="1309" w:type="dxa"/>
            <w:noWrap/>
            <w:vAlign w:val="center"/>
          </w:tcPr>
          <w:p>
            <w:pPr>
              <w:rPr>
                <w:rFonts w:ascii="华文细黑" w:hAnsi="华文细黑" w:eastAsia="华文细黑"/>
              </w:rPr>
            </w:pPr>
            <w:r>
              <w:rPr>
                <w:rFonts w:ascii="华文细黑" w:hAnsi="华文细黑" w:eastAsia="华文细黑"/>
              </w:rPr>
              <w:t>300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2020第二届中国西部绿色建筑节能新材料、新技术产品应用论坛</w:t>
            </w:r>
          </w:p>
        </w:tc>
        <w:tc>
          <w:tcPr>
            <w:tcW w:w="3631" w:type="dxa"/>
            <w:noWrap/>
            <w:vAlign w:val="center"/>
          </w:tcPr>
          <w:p>
            <w:pPr>
              <w:rPr>
                <w:rFonts w:ascii="华文细黑" w:hAnsi="华文细黑" w:eastAsia="华文细黑"/>
              </w:rPr>
            </w:pPr>
            <w:r>
              <w:rPr>
                <w:rFonts w:hint="eastAsia" w:ascii="华文细黑" w:hAnsi="华文细黑" w:eastAsia="华文细黑"/>
              </w:rPr>
              <w:t>成都市节能及新材料协会</w:t>
            </w:r>
          </w:p>
        </w:tc>
        <w:tc>
          <w:tcPr>
            <w:tcW w:w="1309" w:type="dxa"/>
            <w:noWrap/>
            <w:vAlign w:val="center"/>
          </w:tcPr>
          <w:p>
            <w:pPr>
              <w:rPr>
                <w:rFonts w:ascii="华文细黑" w:hAnsi="华文细黑" w:eastAsia="华文细黑"/>
              </w:rPr>
            </w:pPr>
            <w:r>
              <w:rPr>
                <w:rFonts w:ascii="华文细黑" w:hAnsi="华文细黑" w:eastAsia="华文细黑"/>
              </w:rPr>
              <w:t>400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2020成都既有建筑改造及城市更新高峰论坛</w:t>
            </w:r>
          </w:p>
        </w:tc>
        <w:tc>
          <w:tcPr>
            <w:tcW w:w="3631" w:type="dxa"/>
            <w:vAlign w:val="center"/>
          </w:tcPr>
          <w:p>
            <w:pPr>
              <w:rPr>
                <w:rFonts w:ascii="华文细黑" w:hAnsi="华文细黑" w:eastAsia="华文细黑"/>
              </w:rPr>
            </w:pPr>
            <w:r>
              <w:rPr>
                <w:rFonts w:hint="eastAsia" w:ascii="华文细黑" w:hAnsi="华文细黑" w:eastAsia="华文细黑"/>
              </w:rPr>
              <w:t>成都市节能及新材料协会、成都市节能及新材料协会既有建筑改造与城市更新委员会</w:t>
            </w:r>
          </w:p>
        </w:tc>
        <w:tc>
          <w:tcPr>
            <w:tcW w:w="1309" w:type="dxa"/>
            <w:noWrap/>
            <w:vAlign w:val="center"/>
          </w:tcPr>
          <w:p>
            <w:pPr>
              <w:rPr>
                <w:rFonts w:ascii="华文细黑" w:hAnsi="华文细黑" w:eastAsia="华文细黑"/>
              </w:rPr>
            </w:pPr>
            <w:r>
              <w:rPr>
                <w:rFonts w:ascii="华文细黑" w:hAnsi="华文细黑" w:eastAsia="华文细黑"/>
              </w:rPr>
              <w:t>300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2020智能第一课（成都站）</w:t>
            </w:r>
          </w:p>
        </w:tc>
        <w:tc>
          <w:tcPr>
            <w:tcW w:w="3631" w:type="dxa"/>
            <w:noWrap/>
            <w:vAlign w:val="center"/>
          </w:tcPr>
          <w:p>
            <w:pPr>
              <w:rPr>
                <w:rFonts w:ascii="华文细黑" w:hAnsi="华文细黑" w:eastAsia="华文细黑"/>
              </w:rPr>
            </w:pPr>
            <w:r>
              <w:rPr>
                <w:rFonts w:hint="eastAsia" w:ascii="华文细黑" w:hAnsi="华文细黑" w:eastAsia="华文细黑"/>
              </w:rPr>
              <w:t>智哪儿</w:t>
            </w:r>
          </w:p>
        </w:tc>
        <w:tc>
          <w:tcPr>
            <w:tcW w:w="1309" w:type="dxa"/>
            <w:noWrap/>
            <w:vAlign w:val="center"/>
          </w:tcPr>
          <w:p>
            <w:pPr>
              <w:rPr>
                <w:rFonts w:ascii="华文细黑" w:hAnsi="华文细黑" w:eastAsia="华文细黑"/>
              </w:rPr>
            </w:pPr>
            <w:r>
              <w:rPr>
                <w:rFonts w:ascii="华文细黑" w:hAnsi="华文细黑" w:eastAsia="华文细黑"/>
              </w:rPr>
              <w:t>300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四川省钢结构发展论坛</w:t>
            </w:r>
          </w:p>
        </w:tc>
        <w:tc>
          <w:tcPr>
            <w:tcW w:w="3631" w:type="dxa"/>
            <w:noWrap/>
            <w:vAlign w:val="center"/>
          </w:tcPr>
          <w:p>
            <w:pPr>
              <w:rPr>
                <w:rFonts w:ascii="华文细黑" w:hAnsi="华文细黑" w:eastAsia="华文细黑"/>
              </w:rPr>
            </w:pPr>
            <w:r>
              <w:rPr>
                <w:rFonts w:hint="eastAsia" w:ascii="华文细黑" w:hAnsi="华文细黑" w:eastAsia="华文细黑"/>
              </w:rPr>
              <w:t>四川省装配式产业协会</w:t>
            </w:r>
          </w:p>
        </w:tc>
        <w:tc>
          <w:tcPr>
            <w:tcW w:w="1309" w:type="dxa"/>
            <w:noWrap/>
            <w:vAlign w:val="center"/>
          </w:tcPr>
          <w:p>
            <w:pPr>
              <w:rPr>
                <w:rFonts w:ascii="华文细黑" w:hAnsi="华文细黑" w:eastAsia="华文细黑"/>
              </w:rPr>
            </w:pPr>
            <w:r>
              <w:rPr>
                <w:rFonts w:ascii="华文细黑" w:hAnsi="华文细黑" w:eastAsia="华文细黑"/>
              </w:rPr>
              <w:t>500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2020地坪行业最新进展（成都）高峰论坛</w:t>
            </w:r>
          </w:p>
        </w:tc>
        <w:tc>
          <w:tcPr>
            <w:tcW w:w="3631" w:type="dxa"/>
            <w:noWrap/>
            <w:vAlign w:val="center"/>
          </w:tcPr>
          <w:p>
            <w:pPr>
              <w:rPr>
                <w:rFonts w:ascii="华文细黑" w:hAnsi="华文细黑" w:eastAsia="华文细黑"/>
              </w:rPr>
            </w:pPr>
            <w:r>
              <w:rPr>
                <w:rFonts w:hint="eastAsia" w:ascii="华文细黑" w:hAnsi="华文细黑" w:eastAsia="华文细黑"/>
              </w:rPr>
              <w:t>四川省地坪工程技术协会</w:t>
            </w:r>
          </w:p>
        </w:tc>
        <w:tc>
          <w:tcPr>
            <w:tcW w:w="1309" w:type="dxa"/>
            <w:noWrap/>
            <w:vAlign w:val="center"/>
          </w:tcPr>
          <w:p>
            <w:pPr>
              <w:rPr>
                <w:rFonts w:ascii="华文细黑" w:hAnsi="华文细黑" w:eastAsia="华文细黑"/>
              </w:rPr>
            </w:pPr>
            <w:r>
              <w:rPr>
                <w:rFonts w:ascii="华文细黑" w:hAnsi="华文细黑" w:eastAsia="华文细黑"/>
              </w:rPr>
              <w:t>300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2020年四川省建筑门窗幕墙行业发展高峰论坛</w:t>
            </w:r>
          </w:p>
        </w:tc>
        <w:tc>
          <w:tcPr>
            <w:tcW w:w="3631" w:type="dxa"/>
            <w:noWrap/>
            <w:vAlign w:val="center"/>
          </w:tcPr>
          <w:p>
            <w:pPr>
              <w:rPr>
                <w:rFonts w:ascii="华文细黑" w:hAnsi="华文细黑" w:eastAsia="华文细黑"/>
              </w:rPr>
            </w:pPr>
            <w:r>
              <w:rPr>
                <w:rFonts w:hint="eastAsia" w:ascii="华文细黑" w:hAnsi="华文细黑" w:eastAsia="华文细黑"/>
              </w:rPr>
              <w:t>四川金属结构行业协会、成都市金属结构行业协会</w:t>
            </w:r>
          </w:p>
        </w:tc>
        <w:tc>
          <w:tcPr>
            <w:tcW w:w="1309" w:type="dxa"/>
            <w:noWrap/>
            <w:vAlign w:val="center"/>
          </w:tcPr>
          <w:p>
            <w:pPr>
              <w:rPr>
                <w:rFonts w:ascii="华文细黑" w:hAnsi="华文细黑" w:eastAsia="华文细黑"/>
              </w:rPr>
            </w:pPr>
            <w:r>
              <w:rPr>
                <w:rFonts w:ascii="华文细黑" w:hAnsi="华文细黑" w:eastAsia="华文细黑"/>
              </w:rPr>
              <w:t>600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noWrap/>
            <w:vAlign w:val="center"/>
          </w:tcPr>
          <w:p>
            <w:pPr>
              <w:rPr>
                <w:rFonts w:ascii="华文细黑" w:hAnsi="华文细黑" w:eastAsia="华文细黑"/>
              </w:rPr>
            </w:pPr>
            <w:r>
              <w:rPr>
                <w:rFonts w:hint="eastAsia" w:ascii="华文细黑" w:hAnsi="华文细黑" w:eastAsia="华文细黑"/>
              </w:rPr>
              <w:t>2020西部房地产发展论坛</w:t>
            </w:r>
          </w:p>
        </w:tc>
        <w:tc>
          <w:tcPr>
            <w:tcW w:w="3631" w:type="dxa"/>
            <w:noWrap/>
            <w:vAlign w:val="center"/>
          </w:tcPr>
          <w:p>
            <w:pPr>
              <w:rPr>
                <w:rFonts w:ascii="华文细黑" w:hAnsi="华文细黑" w:eastAsia="华文细黑"/>
              </w:rPr>
            </w:pPr>
            <w:r>
              <w:rPr>
                <w:rFonts w:hint="eastAsia" w:ascii="华文细黑" w:hAnsi="华文细黑" w:eastAsia="华文细黑"/>
              </w:rPr>
              <w:t>成都市房地产开发企业协会</w:t>
            </w:r>
          </w:p>
        </w:tc>
        <w:tc>
          <w:tcPr>
            <w:tcW w:w="1309" w:type="dxa"/>
            <w:noWrap/>
            <w:vAlign w:val="center"/>
          </w:tcPr>
          <w:p>
            <w:pPr>
              <w:rPr>
                <w:rFonts w:ascii="华文细黑" w:hAnsi="华文细黑" w:eastAsia="华文细黑"/>
              </w:rPr>
            </w:pPr>
            <w:r>
              <w:rPr>
                <w:rFonts w:ascii="华文细黑" w:hAnsi="华文细黑" w:eastAsia="华文细黑"/>
              </w:rPr>
              <w:t>400</w:t>
            </w:r>
            <w:r>
              <w:rPr>
                <w:rFonts w:hint="eastAsia" w:ascii="华文细黑" w:hAnsi="华文细黑" w:eastAsia="华文细黑"/>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4603" w:type="dxa"/>
            <w:vAlign w:val="center"/>
          </w:tcPr>
          <w:p>
            <w:pPr>
              <w:rPr>
                <w:rFonts w:ascii="华文细黑" w:hAnsi="华文细黑" w:eastAsia="华文细黑"/>
              </w:rPr>
            </w:pPr>
            <w:r>
              <w:rPr>
                <w:rFonts w:hint="eastAsia" w:ascii="华文细黑" w:hAnsi="华文细黑" w:eastAsia="华文细黑"/>
              </w:rPr>
              <w:t>2020中国西部不锈钢产品应用论坛</w:t>
            </w:r>
          </w:p>
        </w:tc>
        <w:tc>
          <w:tcPr>
            <w:tcW w:w="3631" w:type="dxa"/>
            <w:noWrap/>
            <w:vAlign w:val="center"/>
          </w:tcPr>
          <w:p>
            <w:pPr>
              <w:rPr>
                <w:rFonts w:ascii="华文细黑" w:hAnsi="华文细黑" w:eastAsia="华文细黑"/>
              </w:rPr>
            </w:pPr>
            <w:r>
              <w:rPr>
                <w:rFonts w:hint="eastAsia" w:ascii="华文细黑" w:hAnsi="华文细黑" w:eastAsia="华文细黑"/>
              </w:rPr>
              <w:t>四川省川联不锈钢产业商会</w:t>
            </w:r>
          </w:p>
        </w:tc>
        <w:tc>
          <w:tcPr>
            <w:tcW w:w="1309" w:type="dxa"/>
            <w:noWrap/>
            <w:vAlign w:val="center"/>
          </w:tcPr>
          <w:p>
            <w:pPr>
              <w:rPr>
                <w:rFonts w:ascii="华文细黑" w:hAnsi="华文细黑" w:eastAsia="华文细黑"/>
              </w:rPr>
            </w:pPr>
            <w:r>
              <w:rPr>
                <w:rFonts w:ascii="华文细黑" w:hAnsi="华文细黑" w:eastAsia="华文细黑"/>
              </w:rPr>
              <w:t>400</w:t>
            </w:r>
            <w:r>
              <w:rPr>
                <w:rFonts w:hint="eastAsia" w:ascii="华文细黑" w:hAnsi="华文细黑" w:eastAsia="华文细黑"/>
              </w:rPr>
              <w:t>人</w:t>
            </w:r>
          </w:p>
        </w:tc>
      </w:tr>
    </w:tbl>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201</w:t>
      </w:r>
      <w:r>
        <w:rPr>
          <w:rFonts w:ascii="微软雅黑" w:hAnsi="微软雅黑" w:eastAsia="微软雅黑" w:cstheme="minorEastAsia"/>
          <w:b/>
          <w:bCs/>
          <w:color w:val="000000" w:themeColor="text1"/>
          <w:sz w:val="28"/>
          <w:szCs w:val="28"/>
          <w14:textFill>
            <w14:solidFill>
              <w14:schemeClr w14:val="tx1"/>
            </w14:solidFill>
          </w14:textFill>
        </w:rPr>
        <w:t>9</w:t>
      </w:r>
      <w:r>
        <w:rPr>
          <w:rFonts w:hint="eastAsia" w:ascii="微软雅黑" w:hAnsi="微软雅黑" w:eastAsia="微软雅黑" w:cstheme="minorEastAsia"/>
          <w:b/>
          <w:bCs/>
          <w:color w:val="000000" w:themeColor="text1"/>
          <w:sz w:val="28"/>
          <w:szCs w:val="28"/>
          <w14:textFill>
            <w14:solidFill>
              <w14:schemeClr w14:val="tx1"/>
            </w14:solidFill>
          </w14:textFill>
        </w:rPr>
        <w:t>·CCBD回顾</w:t>
      </w:r>
    </w:p>
    <w:p>
      <w:pPr>
        <w:snapToGrid w:val="0"/>
        <w:ind w:firstLine="480" w:firstLineChars="200"/>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2</w:t>
      </w:r>
      <w:r>
        <w:rPr>
          <w:rFonts w:ascii="微软雅黑" w:hAnsi="微软雅黑" w:eastAsia="微软雅黑" w:cstheme="minorEastAsia"/>
          <w:bCs/>
          <w:color w:val="000000" w:themeColor="text1"/>
          <w:sz w:val="24"/>
          <w:szCs w:val="24"/>
          <w14:textFill>
            <w14:solidFill>
              <w14:schemeClr w14:val="tx1"/>
            </w14:solidFill>
          </w14:textFill>
        </w:rPr>
        <w:t>019第</w:t>
      </w:r>
      <w:r>
        <w:rPr>
          <w:rFonts w:hint="eastAsia" w:ascii="微软雅黑" w:hAnsi="微软雅黑" w:eastAsia="微软雅黑" w:cstheme="minorEastAsia"/>
          <w:bCs/>
          <w:color w:val="000000" w:themeColor="text1"/>
          <w:sz w:val="24"/>
          <w:szCs w:val="24"/>
          <w14:textFill>
            <w14:solidFill>
              <w14:schemeClr w14:val="tx1"/>
            </w14:solidFill>
          </w14:textFill>
        </w:rPr>
        <w:t>十九</w:t>
      </w:r>
      <w:r>
        <w:rPr>
          <w:rFonts w:ascii="微软雅黑" w:hAnsi="微软雅黑" w:eastAsia="微软雅黑" w:cstheme="minorEastAsia"/>
          <w:bCs/>
          <w:color w:val="000000" w:themeColor="text1"/>
          <w:sz w:val="24"/>
          <w:szCs w:val="24"/>
          <w14:textFill>
            <w14:solidFill>
              <w14:schemeClr w14:val="tx1"/>
            </w14:solidFill>
          </w14:textFill>
        </w:rPr>
        <w:t>届成都建博会展览面积13万平方米，参展企业1447家，展位4214个，同期举行不同主题行业高峰论坛16场，专业观众人数达</w:t>
      </w:r>
      <w:r>
        <w:rPr>
          <w:rFonts w:hint="eastAsia" w:ascii="微软雅黑" w:hAnsi="微软雅黑" w:eastAsia="微软雅黑" w:cstheme="minorEastAsia"/>
          <w:bCs/>
          <w:color w:val="000000" w:themeColor="text1"/>
          <w:sz w:val="24"/>
          <w:szCs w:val="24"/>
          <w14:textFill>
            <w14:solidFill>
              <w14:schemeClr w14:val="tx1"/>
            </w14:solidFill>
          </w14:textFill>
        </w:rPr>
        <w:t>9</w:t>
      </w:r>
      <w:r>
        <w:rPr>
          <w:rFonts w:ascii="微软雅黑" w:hAnsi="微软雅黑" w:eastAsia="微软雅黑" w:cstheme="minorEastAsia"/>
          <w:bCs/>
          <w:color w:val="000000" w:themeColor="text1"/>
          <w:sz w:val="24"/>
          <w:szCs w:val="24"/>
          <w14:textFill>
            <w14:solidFill>
              <w14:schemeClr w14:val="tx1"/>
            </w14:solidFill>
          </w14:textFill>
        </w:rPr>
        <w:t>8754人次</w:t>
      </w:r>
      <w:r>
        <w:rPr>
          <w:rFonts w:hint="eastAsia" w:ascii="微软雅黑" w:hAnsi="微软雅黑" w:eastAsia="微软雅黑" w:cstheme="minorEastAsia"/>
          <w:bCs/>
          <w:color w:val="000000" w:themeColor="text1"/>
          <w:sz w:val="24"/>
          <w:szCs w:val="24"/>
          <w14:textFill>
            <w14:solidFill>
              <w14:schemeClr w14:val="tx1"/>
            </w14:solidFill>
          </w14:textFill>
        </w:rPr>
        <w:t>。</w:t>
      </w:r>
      <w:r>
        <w:rPr>
          <w:rFonts w:ascii="微软雅黑" w:hAnsi="微软雅黑" w:eastAsia="微软雅黑" w:cstheme="minorEastAsia"/>
          <w:bCs/>
          <w:color w:val="000000" w:themeColor="text1"/>
          <w:sz w:val="24"/>
          <w:szCs w:val="24"/>
          <w14:textFill>
            <w14:solidFill>
              <w14:schemeClr w14:val="tx1"/>
            </w14:solidFill>
          </w14:textFill>
        </w:rPr>
        <w:t xml:space="preserve"> </w:t>
      </w:r>
    </w:p>
    <w:p>
      <w:pPr>
        <w:snapToGrid w:val="0"/>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201</w:t>
      </w:r>
      <w:r>
        <w:rPr>
          <w:rFonts w:ascii="微软雅黑" w:hAnsi="微软雅黑" w:eastAsia="微软雅黑" w:cstheme="minorEastAsia"/>
          <w:b/>
          <w:bCs/>
          <w:color w:val="000000" w:themeColor="text1"/>
          <w:sz w:val="28"/>
          <w:szCs w:val="28"/>
          <w14:textFill>
            <w14:solidFill>
              <w14:schemeClr w14:val="tx1"/>
            </w14:solidFill>
          </w14:textFill>
        </w:rPr>
        <w:t>9</w:t>
      </w:r>
      <w:r>
        <w:rPr>
          <w:rFonts w:hint="eastAsia" w:ascii="微软雅黑" w:hAnsi="微软雅黑" w:eastAsia="微软雅黑" w:cstheme="minorEastAsia"/>
          <w:b/>
          <w:bCs/>
          <w:color w:val="000000" w:themeColor="text1"/>
          <w:sz w:val="28"/>
          <w:szCs w:val="28"/>
          <w14:textFill>
            <w14:solidFill>
              <w14:schemeClr w14:val="tx1"/>
            </w14:solidFill>
          </w14:textFill>
        </w:rPr>
        <w:t xml:space="preserve">·CCBD—观众 </w:t>
      </w:r>
    </w:p>
    <w:p>
      <w:pPr>
        <w:snapToGrid w:val="0"/>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观众总量：</w:t>
      </w:r>
      <w:r>
        <w:rPr>
          <w:rFonts w:ascii="微软雅黑" w:hAnsi="微软雅黑" w:eastAsia="微软雅黑" w:cstheme="minorEastAsia"/>
          <w:color w:val="000000" w:themeColor="text1"/>
          <w:sz w:val="24"/>
          <w:szCs w:val="24"/>
          <w14:textFill>
            <w14:solidFill>
              <w14:schemeClr w14:val="tx1"/>
            </w14:solidFill>
          </w14:textFill>
        </w:rPr>
        <w:t>98754</w:t>
      </w:r>
      <w:r>
        <w:rPr>
          <w:rFonts w:hint="eastAsia" w:ascii="微软雅黑" w:hAnsi="微软雅黑" w:eastAsia="微软雅黑" w:cstheme="minorEastAsia"/>
          <w:color w:val="000000" w:themeColor="text1"/>
          <w:sz w:val="24"/>
          <w:szCs w:val="24"/>
          <w14:textFill>
            <w14:solidFill>
              <w14:schemeClr w14:val="tx1"/>
            </w14:solidFill>
          </w14:textFill>
        </w:rPr>
        <w:t>人次，专业观众人数较1</w:t>
      </w:r>
      <w:r>
        <w:rPr>
          <w:rFonts w:ascii="微软雅黑" w:hAnsi="微软雅黑" w:eastAsia="微软雅黑" w:cstheme="minorEastAsia"/>
          <w:color w:val="000000" w:themeColor="text1"/>
          <w:sz w:val="24"/>
          <w:szCs w:val="24"/>
          <w14:textFill>
            <w14:solidFill>
              <w14:schemeClr w14:val="tx1"/>
            </w14:solidFill>
          </w14:textFill>
        </w:rPr>
        <w:t>8</w:t>
      </w:r>
      <w:r>
        <w:rPr>
          <w:rFonts w:hint="eastAsia" w:ascii="微软雅黑" w:hAnsi="微软雅黑" w:eastAsia="微软雅黑" w:cstheme="minorEastAsia"/>
          <w:color w:val="000000" w:themeColor="text1"/>
          <w:sz w:val="24"/>
          <w:szCs w:val="24"/>
          <w14:textFill>
            <w14:solidFill>
              <w14:schemeClr w14:val="tx1"/>
            </w14:solidFill>
          </w14:textFill>
        </w:rPr>
        <w:t>年增长</w:t>
      </w:r>
      <w:r>
        <w:rPr>
          <w:rFonts w:ascii="微软雅黑" w:hAnsi="微软雅黑" w:eastAsia="微软雅黑" w:cstheme="minorEastAsia"/>
          <w:color w:val="000000" w:themeColor="text1"/>
          <w:sz w:val="24"/>
          <w:szCs w:val="24"/>
          <w14:textFill>
            <w14:solidFill>
              <w14:schemeClr w14:val="tx1"/>
            </w14:solidFill>
          </w14:textFill>
        </w:rPr>
        <w:t>46</w:t>
      </w:r>
      <w:r>
        <w:rPr>
          <w:rFonts w:hint="eastAsia" w:ascii="微软雅黑" w:hAnsi="微软雅黑" w:eastAsia="微软雅黑" w:cstheme="minorEastAsia"/>
          <w:color w:val="000000" w:themeColor="text1"/>
          <w:sz w:val="24"/>
          <w:szCs w:val="24"/>
          <w14:textFill>
            <w14:solidFill>
              <w14:schemeClr w14:val="tx1"/>
            </w14:solidFill>
          </w14:textFill>
        </w:rPr>
        <w:t>%。</w:t>
      </w:r>
    </w:p>
    <w:p>
      <w:pPr>
        <w:rPr>
          <w:rFonts w:ascii="微软雅黑" w:hAnsi="微软雅黑" w:eastAsia="微软雅黑"/>
          <w:color w:val="000000" w:themeColor="text1"/>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drawing>
          <wp:inline distT="0" distB="0" distL="114300" distR="114300">
            <wp:extent cx="6115050" cy="2619375"/>
            <wp:effectExtent l="0" t="0" r="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rPr>
          <w:rFonts w:ascii="微软雅黑" w:hAnsi="微软雅黑" w:eastAsia="微软雅黑" w:cstheme="minorEastAsia"/>
          <w:b/>
          <w:bCs/>
          <w:color w:val="000000" w:themeColor="text1"/>
          <w:sz w:val="32"/>
          <w:szCs w:val="32"/>
          <w14:textFill>
            <w14:solidFill>
              <w14:schemeClr w14:val="tx1"/>
            </w14:solidFill>
          </w14:textFill>
        </w:rPr>
        <w:sectPr>
          <w:type w:val="continuous"/>
          <w:pgSz w:w="11906" w:h="16838"/>
          <w:pgMar w:top="1440" w:right="1080" w:bottom="1440" w:left="1080" w:header="567" w:footer="992" w:gutter="0"/>
          <w:cols w:space="425" w:num="1"/>
          <w:docGrid w:type="lines" w:linePitch="312" w:charSpace="0"/>
        </w:sectPr>
      </w:pPr>
      <w:r>
        <w:rPr>
          <w:rFonts w:hint="eastAsia" w:ascii="微软雅黑" w:hAnsi="微软雅黑" w:eastAsia="微软雅黑" w:cstheme="minorEastAsia"/>
          <w:b/>
          <w:bCs/>
          <w:color w:val="000000" w:themeColor="text1"/>
          <w:sz w:val="32"/>
          <w:szCs w:val="32"/>
          <w14:textFill>
            <w14:solidFill>
              <w14:schemeClr w14:val="tx1"/>
            </w14:solidFill>
          </w14:textFill>
        </w:rPr>
        <w:drawing>
          <wp:inline distT="0" distB="0" distL="0" distR="0">
            <wp:extent cx="6115050" cy="2667000"/>
            <wp:effectExtent l="0" t="0" r="0" b="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rPr>
          <w:rFonts w:ascii="微软雅黑" w:hAnsi="微软雅黑" w:eastAsia="微软雅黑" w:cstheme="minorEastAsia"/>
          <w:color w:val="000000" w:themeColor="text1"/>
          <w:sz w:val="24"/>
          <w:szCs w:val="24"/>
          <w14:textFill>
            <w14:solidFill>
              <w14:schemeClr w14:val="tx1"/>
            </w14:solidFill>
          </w14:textFill>
        </w:rPr>
        <w:sectPr>
          <w:type w:val="continuous"/>
          <w:pgSz w:w="11906" w:h="16838"/>
          <w:pgMar w:top="1440" w:right="1080" w:bottom="1440" w:left="1080" w:header="851" w:footer="992" w:gutter="0"/>
          <w:cols w:equalWidth="0" w:num="2">
            <w:col w:w="4660" w:space="425"/>
            <w:col w:w="4660"/>
          </w:cols>
          <w:docGrid w:type="lines" w:linePitch="312" w:charSpace="0"/>
        </w:sectPr>
      </w:pPr>
    </w:p>
    <w:bookmarkEnd w:id="21"/>
    <w:p>
      <w:pPr>
        <w:snapToGrid w:val="0"/>
        <w:rPr>
          <w:rFonts w:ascii="微软雅黑" w:hAnsi="微软雅黑" w:eastAsia="微软雅黑" w:cstheme="minorEastAsia"/>
          <w:b/>
          <w:bCs/>
          <w:color w:val="000000" w:themeColor="text1"/>
          <w:sz w:val="28"/>
          <w:szCs w:val="28"/>
          <w14:textFill>
            <w14:solidFill>
              <w14:schemeClr w14:val="tx1"/>
            </w14:solidFill>
          </w14:textFill>
        </w:rPr>
      </w:pPr>
      <w:bookmarkStart w:id="22" w:name="_Hlk489534974"/>
      <w:r>
        <w:rPr>
          <w:rFonts w:hint="eastAsia" w:ascii="微软雅黑" w:hAnsi="微软雅黑" w:eastAsia="微软雅黑" w:cstheme="minorEastAsia"/>
          <w:b/>
          <w:bCs/>
          <w:color w:val="000000" w:themeColor="text1"/>
          <w:sz w:val="28"/>
          <w:szCs w:val="28"/>
          <w14:textFill>
            <w14:solidFill>
              <w14:schemeClr w14:val="tx1"/>
            </w14:solidFill>
          </w14:textFill>
        </w:rPr>
        <w:t>回顾201</w:t>
      </w:r>
      <w:r>
        <w:rPr>
          <w:rFonts w:ascii="微软雅黑" w:hAnsi="微软雅黑" w:eastAsia="微软雅黑" w:cstheme="minorEastAsia"/>
          <w:b/>
          <w:bCs/>
          <w:color w:val="000000" w:themeColor="text1"/>
          <w:sz w:val="28"/>
          <w:szCs w:val="28"/>
          <w14:textFill>
            <w14:solidFill>
              <w14:schemeClr w14:val="tx1"/>
            </w14:solidFill>
          </w14:textFill>
        </w:rPr>
        <w:t>9</w:t>
      </w:r>
      <w:r>
        <w:rPr>
          <w:rFonts w:hint="eastAsia" w:ascii="微软雅黑" w:hAnsi="微软雅黑" w:eastAsia="微软雅黑" w:cstheme="minorEastAsia"/>
          <w:b/>
          <w:bCs/>
          <w:color w:val="000000" w:themeColor="text1"/>
          <w:sz w:val="28"/>
          <w:szCs w:val="28"/>
          <w14:textFill>
            <w14:solidFill>
              <w14:schemeClr w14:val="tx1"/>
            </w14:solidFill>
          </w14:textFill>
        </w:rPr>
        <w:t>·CCBD—展商</w:t>
      </w:r>
    </w:p>
    <w:p>
      <w:pPr>
        <w:snapToGrid w:val="0"/>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展商规模：</w:t>
      </w:r>
      <w:r>
        <w:rPr>
          <w:rFonts w:ascii="微软雅黑" w:hAnsi="微软雅黑" w:eastAsia="微软雅黑" w:cstheme="minorEastAsia"/>
          <w:color w:val="000000" w:themeColor="text1"/>
          <w:sz w:val="24"/>
          <w:szCs w:val="24"/>
          <w14:textFill>
            <w14:solidFill>
              <w14:schemeClr w14:val="tx1"/>
            </w14:solidFill>
          </w14:textFill>
        </w:rPr>
        <w:t>1447</w:t>
      </w:r>
      <w:r>
        <w:rPr>
          <w:rFonts w:hint="eastAsia" w:ascii="微软雅黑" w:hAnsi="微软雅黑" w:eastAsia="微软雅黑" w:cstheme="minorEastAsia"/>
          <w:color w:val="000000" w:themeColor="text1"/>
          <w:sz w:val="24"/>
          <w:szCs w:val="24"/>
          <w14:textFill>
            <w14:solidFill>
              <w14:schemeClr w14:val="tx1"/>
            </w14:solidFill>
          </w14:textFill>
        </w:rPr>
        <w:t>家展商数量，较1</w:t>
      </w:r>
      <w:r>
        <w:rPr>
          <w:rFonts w:ascii="微软雅黑" w:hAnsi="微软雅黑" w:eastAsia="微软雅黑" w:cstheme="minorEastAsia"/>
          <w:color w:val="000000" w:themeColor="text1"/>
          <w:sz w:val="24"/>
          <w:szCs w:val="24"/>
          <w14:textFill>
            <w14:solidFill>
              <w14:schemeClr w14:val="tx1"/>
            </w14:solidFill>
          </w14:textFill>
        </w:rPr>
        <w:t>8</w:t>
      </w:r>
      <w:r>
        <w:rPr>
          <w:rFonts w:hint="eastAsia" w:ascii="微软雅黑" w:hAnsi="微软雅黑" w:eastAsia="微软雅黑" w:cstheme="minorEastAsia"/>
          <w:color w:val="000000" w:themeColor="text1"/>
          <w:sz w:val="24"/>
          <w:szCs w:val="24"/>
          <w14:textFill>
            <w14:solidFill>
              <w14:schemeClr w14:val="tx1"/>
            </w14:solidFill>
          </w14:textFill>
        </w:rPr>
        <w:t>年增长8%。</w:t>
      </w:r>
    </w:p>
    <w:p>
      <w:pPr>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drawing>
          <wp:inline distT="0" distB="0" distL="0" distR="0">
            <wp:extent cx="5645150" cy="2066925"/>
            <wp:effectExtent l="0" t="0" r="12700" b="952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End w:id="22"/>
    <w:p>
      <w:pPr>
        <w:rPr>
          <w:rFonts w:ascii="微软雅黑" w:hAnsi="微软雅黑" w:eastAsia="微软雅黑" w:cstheme="minorEastAsia"/>
          <w:b/>
          <w:bCs/>
          <w:color w:val="000000" w:themeColor="text1"/>
          <w:sz w:val="28"/>
          <w:szCs w:val="28"/>
          <w14:textFill>
            <w14:solidFill>
              <w14:schemeClr w14:val="tx1"/>
            </w14:solidFill>
          </w14:textFill>
        </w:rPr>
      </w:pPr>
      <w:r>
        <w:rPr>
          <w:rFonts w:hint="eastAsia" w:ascii="微软雅黑" w:hAnsi="微软雅黑" w:eastAsia="微软雅黑" w:cstheme="minorEastAsia"/>
          <w:b/>
          <w:bCs/>
          <w:color w:val="000000" w:themeColor="text1"/>
          <w:sz w:val="28"/>
          <w:szCs w:val="28"/>
          <w14:textFill>
            <w14:solidFill>
              <w14:schemeClr w14:val="tx1"/>
            </w14:solidFill>
          </w14:textFill>
        </w:rPr>
        <w:t>回顾201</w:t>
      </w:r>
      <w:r>
        <w:rPr>
          <w:rFonts w:ascii="微软雅黑" w:hAnsi="微软雅黑" w:eastAsia="微软雅黑" w:cstheme="minorEastAsia"/>
          <w:b/>
          <w:bCs/>
          <w:color w:val="000000" w:themeColor="text1"/>
          <w:sz w:val="28"/>
          <w:szCs w:val="28"/>
          <w14:textFill>
            <w14:solidFill>
              <w14:schemeClr w14:val="tx1"/>
            </w14:solidFill>
          </w14:textFill>
        </w:rPr>
        <w:t>9</w:t>
      </w:r>
      <w:r>
        <w:rPr>
          <w:rFonts w:hint="eastAsia" w:ascii="微软雅黑" w:hAnsi="微软雅黑" w:eastAsia="微软雅黑" w:cstheme="minorEastAsia"/>
          <w:b/>
          <w:bCs/>
          <w:color w:val="000000" w:themeColor="text1"/>
          <w:sz w:val="28"/>
          <w:szCs w:val="28"/>
          <w14:textFill>
            <w14:solidFill>
              <w14:schemeClr w14:val="tx1"/>
            </w14:solidFill>
          </w14:textFill>
        </w:rPr>
        <w:t>·CCBD-现场论坛活动，本届展会共计1</w:t>
      </w:r>
      <w:r>
        <w:rPr>
          <w:rFonts w:ascii="微软雅黑" w:hAnsi="微软雅黑" w:eastAsia="微软雅黑" w:cstheme="minorEastAsia"/>
          <w:b/>
          <w:bCs/>
          <w:color w:val="000000" w:themeColor="text1"/>
          <w:sz w:val="28"/>
          <w:szCs w:val="28"/>
          <w14:textFill>
            <w14:solidFill>
              <w14:schemeClr w14:val="tx1"/>
            </w14:solidFill>
          </w14:textFill>
        </w:rPr>
        <w:t>6</w:t>
      </w:r>
      <w:r>
        <w:rPr>
          <w:rFonts w:hint="eastAsia" w:ascii="微软雅黑" w:hAnsi="微软雅黑" w:eastAsia="微软雅黑" w:cstheme="minorEastAsia"/>
          <w:b/>
          <w:bCs/>
          <w:color w:val="000000" w:themeColor="text1"/>
          <w:sz w:val="28"/>
          <w:szCs w:val="28"/>
          <w14:textFill>
            <w14:solidFill>
              <w14:schemeClr w14:val="tx1"/>
            </w14:solidFill>
          </w14:textFill>
        </w:rPr>
        <w:t>场论坛活动</w:t>
      </w:r>
    </w:p>
    <w:p>
      <w:pPr>
        <w:widowControl/>
        <w:snapToGrid w:val="0"/>
        <w:jc w:val="left"/>
        <w:rPr>
          <w:rFonts w:ascii="微软雅黑" w:hAnsi="微软雅黑" w:eastAsia="微软雅黑" w:cstheme="minorEastAsia"/>
          <w:bCs/>
          <w:color w:val="000000" w:themeColor="text1"/>
          <w:sz w:val="24"/>
          <w:szCs w:val="24"/>
          <w14:textFill>
            <w14:solidFill>
              <w14:schemeClr w14:val="tx1"/>
            </w14:solidFill>
          </w14:textFill>
        </w:rPr>
      </w:pPr>
      <w:bookmarkStart w:id="23" w:name="OLE_LINK18"/>
      <w:r>
        <w:rPr>
          <w:rFonts w:hint="eastAsia" w:ascii="微软雅黑" w:hAnsi="微软雅黑" w:eastAsia="微软雅黑" w:cstheme="minorEastAsia"/>
          <w:bCs/>
          <w:color w:val="000000" w:themeColor="text1"/>
          <w:sz w:val="24"/>
          <w:szCs w:val="24"/>
          <w14:textFill>
            <w14:solidFill>
              <w14:schemeClr w14:val="tx1"/>
            </w14:solidFill>
          </w14:textFill>
        </w:rPr>
        <w:t>2</w:t>
      </w:r>
      <w:r>
        <w:rPr>
          <w:rFonts w:ascii="微软雅黑" w:hAnsi="微软雅黑" w:eastAsia="微软雅黑" w:cstheme="minorEastAsia"/>
          <w:bCs/>
          <w:color w:val="000000" w:themeColor="text1"/>
          <w:sz w:val="24"/>
          <w:szCs w:val="24"/>
          <w14:textFill>
            <w14:solidFill>
              <w14:schemeClr w14:val="tx1"/>
            </w14:solidFill>
          </w14:textFill>
        </w:rPr>
        <w:t>019</w:t>
      </w:r>
      <w:r>
        <w:rPr>
          <w:rFonts w:hint="eastAsia" w:ascii="微软雅黑" w:hAnsi="微软雅黑" w:eastAsia="微软雅黑" w:cstheme="minorEastAsia"/>
          <w:bCs/>
          <w:color w:val="000000" w:themeColor="text1"/>
          <w:sz w:val="24"/>
          <w:szCs w:val="24"/>
          <w14:textFill>
            <w14:solidFill>
              <w14:schemeClr w14:val="tx1"/>
            </w14:solidFill>
          </w14:textFill>
        </w:rPr>
        <w:t>鲲鹏奖·第二届中国室内设计大赛颁奖典礼暨“设计力量’高峰论坛</w:t>
      </w:r>
    </w:p>
    <w:p>
      <w:pPr>
        <w:widowControl/>
        <w:snapToGrid w:val="0"/>
        <w:jc w:val="left"/>
        <w:rPr>
          <w:rFonts w:ascii="微软雅黑" w:hAnsi="微软雅黑" w:eastAsia="微软雅黑" w:cstheme="minorEastAsia"/>
          <w:bCs/>
          <w:color w:val="000000" w:themeColor="text1"/>
          <w:sz w:val="24"/>
          <w:szCs w:val="24"/>
          <w14:textFill>
            <w14:solidFill>
              <w14:schemeClr w14:val="tx1"/>
            </w14:solidFill>
          </w14:textFill>
        </w:rPr>
      </w:pPr>
      <w:r>
        <w:rPr>
          <w:rFonts w:ascii="微软雅黑" w:hAnsi="微软雅黑" w:eastAsia="微软雅黑" w:cstheme="minorEastAsia"/>
          <w:bCs/>
          <w:color w:val="000000" w:themeColor="text1"/>
          <w:sz w:val="24"/>
          <w:szCs w:val="24"/>
          <w14:textFill>
            <w14:solidFill>
              <w14:schemeClr w14:val="tx1"/>
            </w14:solidFill>
          </w14:textFill>
        </w:rPr>
        <w:t>2019</w:t>
      </w:r>
      <w:r>
        <w:rPr>
          <w:rFonts w:hint="eastAsia" w:ascii="微软雅黑" w:hAnsi="微软雅黑" w:eastAsia="微软雅黑" w:cstheme="minorEastAsia"/>
          <w:bCs/>
          <w:color w:val="000000" w:themeColor="text1"/>
          <w:sz w:val="24"/>
          <w:szCs w:val="24"/>
          <w14:textFill>
            <w14:solidFill>
              <w14:schemeClr w14:val="tx1"/>
            </w14:solidFill>
          </w14:textFill>
        </w:rPr>
        <w:t>“走进中国交建建设项目”系列活动之成都市简州新城项目供需对接会</w:t>
      </w:r>
    </w:p>
    <w:p>
      <w:pPr>
        <w:widowControl/>
        <w:snapToGrid w:val="0"/>
        <w:jc w:val="left"/>
        <w:rPr>
          <w:rFonts w:ascii="微软雅黑" w:hAnsi="微软雅黑" w:eastAsia="微软雅黑" w:cstheme="minorEastAsia"/>
          <w:bCs/>
          <w:color w:val="000000" w:themeColor="text1"/>
          <w:sz w:val="24"/>
          <w:szCs w:val="24"/>
          <w14:textFill>
            <w14:solidFill>
              <w14:schemeClr w14:val="tx1"/>
            </w14:solidFill>
          </w14:textFill>
        </w:rPr>
      </w:pPr>
      <w:r>
        <w:rPr>
          <w:rFonts w:ascii="微软雅黑" w:hAnsi="微软雅黑" w:eastAsia="微软雅黑" w:cstheme="minorEastAsia"/>
          <w:bCs/>
          <w:color w:val="000000" w:themeColor="text1"/>
          <w:sz w:val="24"/>
          <w:szCs w:val="24"/>
          <w14:textFill>
            <w14:solidFill>
              <w14:schemeClr w14:val="tx1"/>
            </w14:solidFill>
          </w14:textFill>
        </w:rPr>
        <w:t>2019</w:t>
      </w:r>
      <w:r>
        <w:rPr>
          <w:rFonts w:hint="eastAsia" w:ascii="微软雅黑" w:hAnsi="微软雅黑" w:eastAsia="微软雅黑" w:cstheme="minorEastAsia"/>
          <w:bCs/>
          <w:color w:val="000000" w:themeColor="text1"/>
          <w:sz w:val="24"/>
          <w:szCs w:val="24"/>
          <w14:textFill>
            <w14:solidFill>
              <w14:schemeClr w14:val="tx1"/>
            </w14:solidFill>
          </w14:textFill>
        </w:rPr>
        <w:t>四川省首届钢结构暨装配式行业发展论坛</w:t>
      </w:r>
    </w:p>
    <w:p>
      <w:pPr>
        <w:widowControl/>
        <w:snapToGrid w:val="0"/>
        <w:jc w:val="left"/>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2019中国西部绿色建筑节能新材料、新技术产品应用论坛</w:t>
      </w:r>
    </w:p>
    <w:p>
      <w:pPr>
        <w:widowControl/>
        <w:snapToGrid w:val="0"/>
        <w:jc w:val="left"/>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cstheme="minorEastAsia"/>
          <w:bCs/>
          <w:color w:val="000000" w:themeColor="text1"/>
          <w:sz w:val="24"/>
          <w:szCs w:val="24"/>
          <w14:textFill>
            <w14:solidFill>
              <w14:schemeClr w14:val="tx1"/>
            </w14:solidFill>
          </w14:textFill>
        </w:rPr>
        <w:t>2019成都建博会一对一商贸配对会</w:t>
      </w:r>
      <w:bookmarkEnd w:id="23"/>
    </w:p>
    <w:p>
      <w:pPr>
        <w:widowControl/>
        <w:snapToGrid w:val="0"/>
        <w:jc w:val="left"/>
        <w:rPr>
          <w:rFonts w:ascii="微软雅黑" w:hAnsi="微软雅黑" w:eastAsia="微软雅黑" w:cstheme="minorEastAsia"/>
          <w:bCs/>
          <w:color w:val="000000" w:themeColor="text1"/>
          <w:sz w:val="24"/>
          <w:szCs w:val="24"/>
          <w14:textFill>
            <w14:solidFill>
              <w14:schemeClr w14:val="tx1"/>
            </w14:solidFill>
          </w14:textFill>
        </w:rPr>
      </w:pPr>
      <w:r>
        <w:rPr>
          <w:rFonts w:hint="eastAsia" w:ascii="微软雅黑" w:hAnsi="微软雅黑" w:eastAsia="微软雅黑"/>
          <w:bCs/>
          <w:sz w:val="24"/>
          <w:szCs w:val="24"/>
        </w:rPr>
        <w:t>2019地坪行业最新进展（成都）高峰论坛</w:t>
      </w:r>
    </w:p>
    <w:p>
      <w:pPr>
        <w:widowControl/>
        <w:snapToGrid w:val="0"/>
        <w:jc w:val="left"/>
        <w:rPr>
          <w:rFonts w:ascii="微软雅黑" w:hAnsi="微软雅黑" w:eastAsia="微软雅黑"/>
          <w:bCs/>
          <w:sz w:val="24"/>
          <w:szCs w:val="24"/>
        </w:rPr>
      </w:pPr>
      <w:r>
        <w:rPr>
          <w:rFonts w:hint="eastAsia" w:ascii="微软雅黑" w:hAnsi="微软雅黑" w:eastAsia="微软雅黑"/>
          <w:bCs/>
          <w:sz w:val="24"/>
          <w:szCs w:val="24"/>
        </w:rPr>
        <w:t>2019中国西部“生态园林·科技创新”论坛</w:t>
      </w:r>
    </w:p>
    <w:p>
      <w:pPr>
        <w:widowControl/>
        <w:snapToGrid w:val="0"/>
        <w:jc w:val="left"/>
        <w:rPr>
          <w:rFonts w:ascii="微软雅黑" w:hAnsi="微软雅黑" w:eastAsia="微软雅黑"/>
          <w:bCs/>
          <w:sz w:val="24"/>
          <w:szCs w:val="24"/>
        </w:rPr>
      </w:pPr>
      <w:r>
        <w:rPr>
          <w:rFonts w:hint="eastAsia" w:ascii="微软雅黑" w:hAnsi="微软雅黑" w:eastAsia="微软雅黑"/>
          <w:bCs/>
          <w:sz w:val="24"/>
          <w:szCs w:val="24"/>
        </w:rPr>
        <w:t>2019建材家居智慧化营销升级峰会暨“定制TOP100·全国行”启动发布会</w:t>
      </w:r>
    </w:p>
    <w:p>
      <w:pPr>
        <w:widowControl/>
        <w:snapToGrid w:val="0"/>
        <w:jc w:val="left"/>
        <w:rPr>
          <w:rFonts w:ascii="微软雅黑" w:hAnsi="微软雅黑" w:eastAsia="微软雅黑"/>
          <w:bCs/>
          <w:sz w:val="24"/>
          <w:szCs w:val="24"/>
        </w:rPr>
      </w:pPr>
      <w:r>
        <w:rPr>
          <w:rFonts w:hint="eastAsia" w:ascii="微软雅黑" w:hAnsi="微软雅黑" w:eastAsia="微软雅黑"/>
          <w:bCs/>
          <w:sz w:val="24"/>
          <w:szCs w:val="24"/>
        </w:rPr>
        <w:t>2019年四川省建筑门窗幕墙行业发展高峰论坛</w:t>
      </w:r>
    </w:p>
    <w:p>
      <w:pPr>
        <w:widowControl/>
        <w:snapToGrid w:val="0"/>
        <w:jc w:val="left"/>
        <w:rPr>
          <w:rFonts w:ascii="微软雅黑" w:hAnsi="微软雅黑" w:eastAsia="微软雅黑"/>
          <w:bCs/>
          <w:sz w:val="24"/>
          <w:szCs w:val="24"/>
        </w:rPr>
      </w:pPr>
      <w:r>
        <w:rPr>
          <w:rFonts w:hint="eastAsia" w:ascii="微软雅黑" w:hAnsi="微软雅黑" w:eastAsia="微软雅黑"/>
          <w:bCs/>
          <w:sz w:val="24"/>
          <w:szCs w:val="24"/>
        </w:rPr>
        <w:t>2019年四川省装配式建筑产业协会年会</w:t>
      </w:r>
    </w:p>
    <w:p>
      <w:pPr>
        <w:widowControl/>
        <w:snapToGrid w:val="0"/>
        <w:jc w:val="left"/>
        <w:rPr>
          <w:rFonts w:ascii="微软雅黑" w:hAnsi="微软雅黑" w:eastAsia="微软雅黑"/>
          <w:bCs/>
          <w:sz w:val="24"/>
          <w:szCs w:val="24"/>
        </w:rPr>
      </w:pPr>
      <w:r>
        <w:rPr>
          <w:rFonts w:hint="eastAsia" w:ascii="微软雅黑" w:hAnsi="微软雅黑" w:eastAsia="微软雅黑"/>
          <w:bCs/>
          <w:sz w:val="24"/>
          <w:szCs w:val="24"/>
        </w:rPr>
        <w:t>2019润涛门窗互联网新零售新变革新思维新工具运用分享会</w:t>
      </w:r>
    </w:p>
    <w:p>
      <w:pPr>
        <w:widowControl/>
        <w:snapToGrid w:val="0"/>
        <w:jc w:val="left"/>
        <w:rPr>
          <w:rFonts w:ascii="微软雅黑" w:hAnsi="微软雅黑" w:eastAsia="微软雅黑"/>
          <w:bCs/>
          <w:sz w:val="24"/>
          <w:szCs w:val="24"/>
        </w:rPr>
      </w:pPr>
      <w:r>
        <w:rPr>
          <w:rFonts w:hint="eastAsia" w:ascii="微软雅黑" w:hAnsi="微软雅黑" w:eastAsia="微软雅黑"/>
          <w:bCs/>
          <w:sz w:val="24"/>
          <w:szCs w:val="24"/>
        </w:rPr>
        <w:t>2</w:t>
      </w:r>
      <w:r>
        <w:rPr>
          <w:rFonts w:ascii="微软雅黑" w:hAnsi="微软雅黑" w:eastAsia="微软雅黑"/>
          <w:bCs/>
          <w:sz w:val="24"/>
          <w:szCs w:val="24"/>
        </w:rPr>
        <w:t>019</w:t>
      </w:r>
      <w:r>
        <w:rPr>
          <w:rFonts w:hint="eastAsia" w:ascii="微软雅黑" w:hAnsi="微软雅黑" w:eastAsia="微软雅黑"/>
          <w:bCs/>
          <w:sz w:val="24"/>
          <w:szCs w:val="24"/>
        </w:rPr>
        <w:t>成都</w:t>
      </w:r>
      <w:r>
        <w:rPr>
          <w:rFonts w:hint="eastAsia" w:ascii="微软雅黑" w:hAnsi="微软雅黑" w:eastAsia="微软雅黑"/>
          <w:bCs/>
          <w:color w:val="000000" w:themeColor="text1"/>
          <w:sz w:val="24"/>
          <w:szCs w:val="24"/>
          <w14:textFill>
            <w14:solidFill>
              <w14:schemeClr w14:val="tx1"/>
            </w14:solidFill>
          </w14:textFill>
        </w:rPr>
        <w:t>厚意</w:t>
      </w:r>
      <w:r>
        <w:rPr>
          <w:rFonts w:hint="eastAsia" w:ascii="微软雅黑" w:hAnsi="微软雅黑" w:eastAsia="微软雅黑"/>
          <w:bCs/>
          <w:sz w:val="24"/>
          <w:szCs w:val="24"/>
        </w:rPr>
        <w:t>科技“维他森氧板”产品说明会</w:t>
      </w:r>
    </w:p>
    <w:p>
      <w:pPr>
        <w:widowControl/>
        <w:snapToGrid w:val="0"/>
        <w:jc w:val="left"/>
        <w:rPr>
          <w:rFonts w:ascii="微软雅黑" w:hAnsi="微软雅黑" w:eastAsia="微软雅黑"/>
          <w:bCs/>
          <w:sz w:val="24"/>
          <w:szCs w:val="24"/>
        </w:rPr>
      </w:pPr>
      <w:r>
        <w:rPr>
          <w:rFonts w:ascii="微软雅黑" w:hAnsi="微软雅黑" w:eastAsia="微软雅黑"/>
          <w:bCs/>
          <w:sz w:val="24"/>
          <w:szCs w:val="24"/>
        </w:rPr>
        <w:t>2019</w:t>
      </w:r>
      <w:r>
        <w:rPr>
          <w:rFonts w:hint="eastAsia" w:ascii="微软雅黑" w:hAnsi="微软雅黑" w:eastAsia="微软雅黑"/>
          <w:bCs/>
          <w:sz w:val="24"/>
          <w:szCs w:val="24"/>
        </w:rPr>
        <w:t>中国西部建材家居行业“互联网+”交流大会</w:t>
      </w:r>
    </w:p>
    <w:p>
      <w:pPr>
        <w:widowControl/>
        <w:snapToGrid w:val="0"/>
        <w:jc w:val="left"/>
        <w:rPr>
          <w:rFonts w:ascii="微软雅黑" w:hAnsi="微软雅黑" w:eastAsia="微软雅黑"/>
          <w:bCs/>
          <w:sz w:val="24"/>
          <w:szCs w:val="24"/>
        </w:rPr>
      </w:pPr>
      <w:r>
        <w:rPr>
          <w:rFonts w:ascii="微软雅黑" w:hAnsi="微软雅黑" w:eastAsia="微软雅黑"/>
          <w:bCs/>
          <w:sz w:val="24"/>
          <w:szCs w:val="24"/>
        </w:rPr>
        <w:t>2019</w:t>
      </w:r>
      <w:r>
        <w:rPr>
          <w:rFonts w:hint="eastAsia" w:ascii="微软雅黑" w:hAnsi="微软雅黑" w:eastAsia="微软雅黑"/>
          <w:bCs/>
          <w:sz w:val="24"/>
          <w:szCs w:val="24"/>
        </w:rPr>
        <w:t>未来智能化商业沙龙（成都站）</w:t>
      </w:r>
    </w:p>
    <w:p>
      <w:pPr>
        <w:widowControl/>
        <w:snapToGrid w:val="0"/>
        <w:jc w:val="left"/>
        <w:rPr>
          <w:rFonts w:ascii="微软雅黑" w:hAnsi="微软雅黑" w:eastAsia="微软雅黑"/>
          <w:bCs/>
          <w:sz w:val="24"/>
          <w:szCs w:val="24"/>
        </w:rPr>
      </w:pPr>
      <w:r>
        <w:rPr>
          <w:rFonts w:hint="eastAsia" w:ascii="微软雅黑" w:hAnsi="微软雅黑" w:eastAsia="微软雅黑"/>
          <w:bCs/>
          <w:sz w:val="24"/>
          <w:szCs w:val="24"/>
        </w:rPr>
        <w:t>2019室内设计重点突破与发展论坛</w:t>
      </w:r>
    </w:p>
    <w:p>
      <w:pPr>
        <w:widowControl/>
        <w:snapToGrid w:val="0"/>
        <w:jc w:val="left"/>
        <w:rPr>
          <w:rFonts w:ascii="微软雅黑" w:hAnsi="微软雅黑" w:eastAsia="微软雅黑"/>
          <w:bCs/>
          <w:sz w:val="24"/>
          <w:szCs w:val="24"/>
        </w:rPr>
      </w:pPr>
      <w:r>
        <w:rPr>
          <w:rFonts w:hint="eastAsia" w:ascii="微软雅黑" w:hAnsi="微软雅黑" w:eastAsia="微软雅黑"/>
          <w:bCs/>
          <w:sz w:val="24"/>
          <w:szCs w:val="24"/>
        </w:rPr>
        <w:t>2</w:t>
      </w:r>
      <w:r>
        <w:rPr>
          <w:rFonts w:ascii="微软雅黑" w:hAnsi="微软雅黑" w:eastAsia="微软雅黑"/>
          <w:bCs/>
          <w:sz w:val="24"/>
          <w:szCs w:val="24"/>
        </w:rPr>
        <w:t>019</w:t>
      </w:r>
      <w:r>
        <w:rPr>
          <w:rFonts w:hint="eastAsia" w:ascii="微软雅黑" w:hAnsi="微软雅黑" w:eastAsia="微软雅黑"/>
          <w:bCs/>
          <w:sz w:val="24"/>
          <w:szCs w:val="24"/>
        </w:rPr>
        <w:t>鲲鹏奖.第二届中国室内设计大赛作品展示</w:t>
      </w:r>
    </w:p>
    <w:p>
      <w:pPr>
        <w:widowControl/>
        <w:snapToGrid w:val="0"/>
        <w:jc w:val="left"/>
        <w:rPr>
          <w:rFonts w:ascii="微软雅黑" w:hAnsi="微软雅黑" w:eastAsia="微软雅黑" w:cstheme="minorEastAsia"/>
          <w:b/>
          <w:color w:val="000000" w:themeColor="text1"/>
          <w:sz w:val="24"/>
          <w:szCs w:val="24"/>
          <w14:textFill>
            <w14:solidFill>
              <w14:schemeClr w14:val="tx1"/>
            </w14:solidFill>
          </w14:textFill>
        </w:rPr>
      </w:pPr>
    </w:p>
    <w:p>
      <w:pPr>
        <w:widowControl/>
        <w:snapToGrid w:val="0"/>
        <w:jc w:val="left"/>
        <w:rPr>
          <w:rFonts w:ascii="微软雅黑" w:hAnsi="微软雅黑" w:eastAsia="微软雅黑" w:cstheme="minorEastAsia"/>
          <w:b/>
          <w:color w:val="000000" w:themeColor="text1"/>
          <w:sz w:val="24"/>
          <w:szCs w:val="24"/>
          <w14:textFill>
            <w14:solidFill>
              <w14:schemeClr w14:val="tx1"/>
            </w14:solidFill>
          </w14:textFill>
        </w:rPr>
      </w:pPr>
    </w:p>
    <w:p>
      <w:pPr>
        <w:widowControl/>
        <w:snapToGrid w:val="0"/>
        <w:jc w:val="left"/>
        <w:rPr>
          <w:rFonts w:ascii="微软雅黑" w:hAnsi="微软雅黑" w:eastAsia="微软雅黑"/>
          <w:bCs/>
          <w:sz w:val="24"/>
          <w:szCs w:val="24"/>
        </w:rPr>
      </w:pPr>
      <w:r>
        <w:rPr>
          <w:rFonts w:hint="eastAsia" w:ascii="微软雅黑" w:hAnsi="微软雅黑" w:eastAsia="微软雅黑" w:cstheme="minorEastAsia"/>
          <w:b/>
          <w:color w:val="000000" w:themeColor="text1"/>
          <w:sz w:val="24"/>
          <w:szCs w:val="24"/>
          <w14:textFill>
            <w14:solidFill>
              <w14:schemeClr w14:val="tx1"/>
            </w14:solidFill>
          </w14:textFill>
        </w:rPr>
        <w:t>联系方式</w:t>
      </w:r>
    </w:p>
    <w:p>
      <w:pPr>
        <w:snapToGrid w:val="0"/>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英富曼天一展览（成都）有限公司</w:t>
      </w:r>
    </w:p>
    <w:p>
      <w:pPr>
        <w:snapToGrid w:val="0"/>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地址：成都市人民南路四段19号威斯</w:t>
      </w:r>
    </w:p>
    <w:p>
      <w:pPr>
        <w:snapToGrid w:val="0"/>
        <w:ind w:firstLine="720" w:firstLineChars="300"/>
        <w:rPr>
          <w:rFonts w:ascii="微软雅黑" w:hAnsi="微软雅黑" w:eastAsia="微软雅黑" w:cstheme="minorEastAsia"/>
          <w:color w:val="000000" w:themeColor="text1"/>
          <w:kern w:val="0"/>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顿联邦大厦</w:t>
      </w:r>
      <w:r>
        <w:rPr>
          <w:rFonts w:hint="eastAsia" w:ascii="微软雅黑" w:hAnsi="微软雅黑" w:eastAsia="微软雅黑" w:cstheme="minorEastAsia"/>
          <w:color w:val="000000" w:themeColor="text1"/>
          <w:kern w:val="0"/>
          <w:sz w:val="24"/>
          <w:szCs w:val="24"/>
          <w14:textFill>
            <w14:solidFill>
              <w14:schemeClr w14:val="tx1"/>
            </w14:solidFill>
          </w14:textFill>
        </w:rPr>
        <w:t>1022号</w:t>
      </w:r>
    </w:p>
    <w:p>
      <w:pPr>
        <w:snapToGrid w:val="0"/>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 xml:space="preserve">网址：www.cdjbh.cn         </w:t>
      </w:r>
    </w:p>
    <w:p>
      <w:pPr>
        <w:snapToGrid w:val="0"/>
        <w:rPr>
          <w:rFonts w:hint="default" w:ascii="微软雅黑" w:hAnsi="微软雅黑" w:eastAsia="微软雅黑" w:cstheme="minorEastAsia"/>
          <w:color w:val="000000" w:themeColor="text1"/>
          <w:sz w:val="24"/>
          <w:szCs w:val="24"/>
          <w:lang w:val="en-US" w:eastAsia="zh-CN"/>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电话：028-</w:t>
      </w:r>
      <w:r>
        <w:rPr>
          <w:rFonts w:hint="eastAsia" w:ascii="微软雅黑" w:hAnsi="微软雅黑" w:eastAsia="微软雅黑" w:cstheme="minorEastAsia"/>
          <w:color w:val="000000" w:themeColor="text1"/>
          <w:sz w:val="24"/>
          <w:szCs w:val="24"/>
          <w:lang w:val="en-US" w:eastAsia="zh-CN"/>
          <w14:textFill>
            <w14:solidFill>
              <w14:schemeClr w14:val="tx1"/>
            </w14:solidFill>
          </w14:textFill>
        </w:rPr>
        <w:t>68300084</w:t>
      </w:r>
    </w:p>
    <w:p>
      <w:pPr>
        <w:snapToGrid w:val="0"/>
        <w:jc w:val="left"/>
        <w:rPr>
          <w:rFonts w:ascii="微软雅黑" w:hAnsi="微软雅黑" w:eastAsia="微软雅黑" w:cstheme="minorEastAsia"/>
          <w:color w:val="000000" w:themeColor="text1"/>
          <w:sz w:val="24"/>
          <w:szCs w:val="24"/>
          <w14:textFill>
            <w14:solidFill>
              <w14:schemeClr w14:val="tx1"/>
            </w14:solidFill>
          </w14:textFill>
        </w:rPr>
      </w:pPr>
      <w:r>
        <w:rPr>
          <w:rFonts w:hint="eastAsia" w:ascii="微软雅黑" w:hAnsi="微软雅黑" w:eastAsia="微软雅黑" w:cstheme="minorEastAsia"/>
          <w:color w:val="000000" w:themeColor="text1"/>
          <w:sz w:val="24"/>
          <w:szCs w:val="24"/>
          <w14:textFill>
            <w14:solidFill>
              <w14:schemeClr w14:val="tx1"/>
            </w14:solidFill>
          </w14:textFill>
        </w:rPr>
        <w:t xml:space="preserve">联系人： </w:t>
      </w:r>
      <w:r>
        <w:rPr>
          <w:rFonts w:ascii="微软雅黑" w:hAnsi="微软雅黑" w:eastAsia="微软雅黑" w:cstheme="minorEastAsia"/>
          <w:color w:val="000000" w:themeColor="text1"/>
          <w:sz w:val="24"/>
          <w:szCs w:val="24"/>
          <w14:textFill>
            <w14:solidFill>
              <w14:schemeClr w14:val="tx1"/>
            </w14:solidFill>
          </w14:textFill>
        </w:rPr>
        <w:t xml:space="preserve"> </w:t>
      </w:r>
      <w:r>
        <w:rPr>
          <w:rFonts w:hint="eastAsia" w:ascii="微软雅黑" w:hAnsi="微软雅黑" w:eastAsia="微软雅黑" w:cstheme="minorEastAsia"/>
          <w:color w:val="000000" w:themeColor="text1"/>
          <w:sz w:val="24"/>
          <w:szCs w:val="24"/>
          <w:lang w:val="en-US" w:eastAsia="zh-CN"/>
          <w14:textFill>
            <w14:solidFill>
              <w14:schemeClr w14:val="tx1"/>
            </w14:solidFill>
          </w14:textFill>
        </w:rPr>
        <w:t>15902871013</w:t>
      </w:r>
      <w:r>
        <w:rPr>
          <w:rFonts w:ascii="微软雅黑" w:hAnsi="微软雅黑" w:eastAsia="微软雅黑" w:cstheme="minorEastAsia"/>
          <w:color w:val="000000" w:themeColor="text1"/>
          <w:sz w:val="24"/>
          <w:szCs w:val="24"/>
          <w14:textFill>
            <w14:solidFill>
              <w14:schemeClr w14:val="tx1"/>
            </w14:solidFill>
          </w14:textFill>
        </w:rPr>
        <w:t xml:space="preserve">        </w:t>
      </w:r>
      <w:bookmarkStart w:id="24" w:name="_GoBack"/>
      <w:bookmarkEnd w:id="24"/>
    </w:p>
    <w:sectPr>
      <w:type w:val="continuous"/>
      <w:pgSz w:w="11906" w:h="16838"/>
      <w:pgMar w:top="590" w:right="1080" w:bottom="590" w:left="108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Rockwell">
    <w:altName w:val="Chaparral Pro"/>
    <w:panose1 w:val="02060603020205020403"/>
    <w:charset w:val="00"/>
    <w:family w:val="roman"/>
    <w:pitch w:val="default"/>
    <w:sig w:usb0="00000000" w:usb1="00000000" w:usb2="00000000" w:usb3="00000000" w:csb0="00000003" w:csb1="00000000"/>
  </w:font>
  <w:font w:name="华文细黑">
    <w:altName w:val="微软雅黑"/>
    <w:panose1 w:val="02010600040101010101"/>
    <w:charset w:val="86"/>
    <w:family w:val="auto"/>
    <w:pitch w:val="default"/>
    <w:sig w:usb0="00000000" w:usb1="00000000" w:usb2="00000010" w:usb3="00000000" w:csb0="0004009F" w:csb1="00000000"/>
  </w:font>
  <w:font w:name="Chaparral Pro">
    <w:panose1 w:val="02060503040505020203"/>
    <w:charset w:val="00"/>
    <w:family w:val="auto"/>
    <w:pitch w:val="default"/>
    <w:sig w:usb0="00000007" w:usb1="00000001" w:usb2="00000000" w:usb3="00000000" w:csb0="2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2" name="MSIPCM05bd4589b1d39d066aa16464"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pPr>
                            <w:jc w:val="left"/>
                            <w:rPr>
                              <w:rFonts w:ascii="Rockwell" w:hAnsi="Rockwell"/>
                              <w:color w:val="0078D7"/>
                              <w:sz w:val="18"/>
                            </w:rPr>
                          </w:pPr>
                          <w:r>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 id="MSIPCM05bd4589b1d39d066aa16464" o:spid="_x0000_s1026" o:spt="202" alt="{&quot;HashCode&quot;:-1348403003,&quot;Height&quot;:841.0,&quot;Width&quot;:595.0,&quot;Placement&quot;:&quot;Footer&quot;,&quot;Index&quot;:&quot;Primary&quot;,&quot;Section&quot;:1,&quot;Top&quot;:0.0,&quot;Left&quot;:0.0}" type="#_x0000_t202" style="position:absolute;left:0pt;margin-left:0pt;margin-top:805.9pt;height:21pt;width:595.3pt;mso-position-horizontal-relative:page;mso-position-vertical-relative:page;z-index:251659264;v-text-anchor:bottom;mso-width-relative:page;mso-height-relative:page;" filled="f" stroked="f" coordsize="21600,21600" o:allowincell="f" o:gfxdata="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FTS&#10;MOzXAAAACwEAAA8AAAAAAAAAAQAgAAAAIgAAAGRycy9kb3ducmV2LnhtbFBLAQIUABQAAAAIAIdO&#10;4kBH99OolgIAAA4FAAAOAAAAAAAAAAEAIAAAACYBAABkcnMvZTJvRG9jLnhtbFBLBQYAAAAABgAG&#10;AFkBAAAuBgAAAAA=&#10;">
              <v:fill on="f" focussize="0,0"/>
              <v:stroke on="f" weight="0.5pt"/>
              <v:imagedata o:title=""/>
              <o:lock v:ext="edit" aspectratio="f"/>
              <v:textbox inset="20pt,0mm,2.54mm,0mm">
                <w:txbxContent>
                  <w:p>
                    <w:pPr>
                      <w:jc w:val="left"/>
                      <w:rPr>
                        <w:rFonts w:ascii="Rockwell" w:hAnsi="Rockwell"/>
                        <w:color w:val="0078D7"/>
                        <w:sz w:val="18"/>
                      </w:rPr>
                    </w:pPr>
                    <w:r>
                      <w:rPr>
                        <w:rFonts w:ascii="Rockwell" w:hAnsi="Rockwell"/>
                        <w:color w:val="0078D7"/>
                        <w:sz w:val="18"/>
                      </w:rPr>
                      <w:t>Information Classification: General</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501"/>
        <w:tab w:val="left" w:pos="3848"/>
        <w:tab w:val="right" w:pos="9746"/>
      </w:tabs>
      <w:jc w:val="left"/>
      <w:rPr>
        <w:rFonts w:asciiTheme="minorEastAsia" w:hAnsiTheme="minorEastAsia" w:cstheme="minorEastAsia"/>
        <w:sz w:val="24"/>
        <w:szCs w:val="24"/>
      </w:rPr>
    </w:pPr>
    <w:r>
      <w:rPr>
        <w:rFonts w:asciiTheme="minorEastAsia" w:hAnsiTheme="minorEastAsia" w:cstheme="minorEastAsia"/>
        <w:b/>
        <w:bCs/>
        <w:sz w:val="24"/>
        <w:szCs w:val="24"/>
      </w:rPr>
      <w:tab/>
    </w:r>
    <w:r>
      <w:rPr>
        <w:rFonts w:asciiTheme="minorEastAsia" w:hAnsiTheme="minorEastAsia" w:cstheme="minorEastAsia"/>
        <w:b/>
        <w:bCs/>
        <w:sz w:val="24"/>
        <w:szCs w:val="24"/>
      </w:rPr>
      <w:tab/>
    </w:r>
    <w:r>
      <w:rPr>
        <w:rFonts w:asciiTheme="minorEastAsia" w:hAnsiTheme="minorEastAsia" w:cstheme="minorEastAsia"/>
        <w:b/>
        <w:bCs/>
        <w:sz w:val="24"/>
        <w:szCs w:val="24"/>
      </w:rPr>
      <w:tab/>
    </w:r>
    <w:r>
      <w:rPr>
        <w:rFonts w:hint="eastAsia" w:asciiTheme="minorEastAsia" w:hAnsiTheme="minorEastAsia" w:cstheme="minorEastAsia"/>
        <w:b/>
        <w:bCs/>
        <w:sz w:val="24"/>
        <w:szCs w:val="24"/>
      </w:rPr>
      <w:drawing>
        <wp:anchor distT="0" distB="0" distL="114300" distR="114300" simplePos="0" relativeHeight="251660288" behindDoc="0" locked="0" layoutInCell="1" allowOverlap="1">
          <wp:simplePos x="0" y="0"/>
          <wp:positionH relativeFrom="column">
            <wp:posOffset>36830</wp:posOffset>
          </wp:positionH>
          <wp:positionV relativeFrom="paragraph">
            <wp:posOffset>5715</wp:posOffset>
          </wp:positionV>
          <wp:extent cx="1814830" cy="307340"/>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15128" cy="307230"/>
                  </a:xfrm>
                  <a:prstGeom prst="rect">
                    <a:avLst/>
                  </a:prstGeom>
                </pic:spPr>
              </pic:pic>
            </a:graphicData>
          </a:graphic>
        </wp:anchor>
      </w:drawing>
    </w:r>
    <w:r>
      <w:rPr>
        <w:rFonts w:hint="eastAsia" w:asciiTheme="minorEastAsia" w:hAnsiTheme="minorEastAsia" w:cstheme="minorEastAsia"/>
        <w:b/>
        <w:bCs/>
        <w:sz w:val="24"/>
        <w:szCs w:val="24"/>
      </w:rPr>
      <w:t>中西部大家居建装行业旗舰展</w:t>
    </w:r>
  </w:p>
  <w:p>
    <w:pPr>
      <w:pBdr>
        <w:bottom w:val="double" w:color="808080" w:sz="8" w:space="0"/>
      </w:pBdr>
      <w:jc w:val="right"/>
      <w:rPr>
        <w:b/>
        <w:bCs/>
      </w:rPr>
    </w:pPr>
    <w:r>
      <w:rPr>
        <w:rFonts w:hint="eastAsia" w:asciiTheme="minorEastAsia" w:hAnsiTheme="minorEastAsia" w:cstheme="minorEastAsia"/>
        <w:szCs w:val="21"/>
      </w:rPr>
      <w:t>1</w:t>
    </w:r>
    <w:r>
      <w:rPr>
        <w:rFonts w:asciiTheme="minorEastAsia" w:hAnsiTheme="minorEastAsia" w:cstheme="minorEastAsia"/>
        <w:szCs w:val="21"/>
      </w:rPr>
      <w:t>1</w:t>
    </w:r>
    <w:r>
      <w:rPr>
        <w:rFonts w:hint="eastAsia" w:asciiTheme="minorEastAsia" w:hAnsiTheme="minorEastAsia" w:cstheme="minorEastAsia"/>
        <w:szCs w:val="21"/>
      </w:rPr>
      <w:t>个展馆+</w:t>
    </w:r>
    <w:r>
      <w:rPr>
        <w:rFonts w:asciiTheme="minorEastAsia" w:hAnsiTheme="minorEastAsia" w:cstheme="minorEastAsia"/>
        <w:szCs w:val="21"/>
      </w:rPr>
      <w:t>4</w:t>
    </w:r>
    <w:r>
      <w:rPr>
        <w:rFonts w:hint="eastAsia" w:asciiTheme="minorEastAsia" w:hAnsiTheme="minorEastAsia" w:cstheme="minorEastAsia"/>
        <w:szCs w:val="21"/>
      </w:rPr>
      <w:t>个展区·1</w:t>
    </w:r>
    <w:r>
      <w:rPr>
        <w:rFonts w:asciiTheme="minorEastAsia" w:hAnsiTheme="minorEastAsia" w:cstheme="minorEastAsia"/>
        <w:szCs w:val="21"/>
      </w:rPr>
      <w:t>4</w:t>
    </w:r>
    <w:r>
      <w:rPr>
        <w:rFonts w:hint="eastAsia" w:asciiTheme="minorEastAsia" w:hAnsiTheme="minorEastAsia" w:cstheme="minorEastAsia"/>
        <w:szCs w:val="21"/>
      </w:rPr>
      <w:t>万㎡展览面积·1600</w:t>
    </w:r>
    <w:r>
      <w:rPr>
        <w:rFonts w:hint="eastAsia" w:asciiTheme="minorEastAsia" w:hAnsiTheme="minorEastAsia" w:cstheme="minorEastAsia"/>
        <w:sz w:val="28"/>
        <w:szCs w:val="28"/>
        <w:vertAlign w:val="superscript"/>
      </w:rPr>
      <w:t>+</w:t>
    </w:r>
    <w:r>
      <w:rPr>
        <w:rFonts w:hint="eastAsia" w:asciiTheme="minorEastAsia" w:hAnsiTheme="minorEastAsia" w:cstheme="minorEastAsia"/>
        <w:szCs w:val="21"/>
      </w:rPr>
      <w:t>展商、90000</w:t>
    </w:r>
    <w:r>
      <w:rPr>
        <w:rFonts w:hint="eastAsia" w:asciiTheme="minorEastAsia" w:hAnsiTheme="minorEastAsia" w:cstheme="minorEastAsia"/>
        <w:sz w:val="28"/>
        <w:szCs w:val="28"/>
        <w:vertAlign w:val="superscript"/>
      </w:rPr>
      <w:t>+</w:t>
    </w:r>
    <w:r>
      <w:rPr>
        <w:rFonts w:hint="eastAsia" w:asciiTheme="minorEastAsia" w:hAnsiTheme="minorEastAsia" w:cstheme="minorEastAsia"/>
        <w:szCs w:val="21"/>
      </w:rPr>
      <w:t>人次观众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5px;height:15px" o:bullet="t">
        <v:imagedata r:id="rId1" o:title=""/>
      </v:shape>
    </w:pict>
  </w:numPicBullet>
  <w:abstractNum w:abstractNumId="0">
    <w:nsid w:val="5D5608A8"/>
    <w:multiLevelType w:val="multilevel"/>
    <w:tmpl w:val="5D5608A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D4B3592"/>
    <w:multiLevelType w:val="multilevel"/>
    <w:tmpl w:val="6D4B3592"/>
    <w:lvl w:ilvl="0" w:tentative="0">
      <w:start w:val="1"/>
      <w:numFmt w:val="bullet"/>
      <w:lvlText w:val=""/>
      <w:lvlPicBulletId w:val="0"/>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4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26"/>
    <w:rsid w:val="00000674"/>
    <w:rsid w:val="00006319"/>
    <w:rsid w:val="0000739E"/>
    <w:rsid w:val="00013048"/>
    <w:rsid w:val="00020240"/>
    <w:rsid w:val="000207CB"/>
    <w:rsid w:val="00021854"/>
    <w:rsid w:val="0002261F"/>
    <w:rsid w:val="00022A2D"/>
    <w:rsid w:val="00024DA3"/>
    <w:rsid w:val="000309EC"/>
    <w:rsid w:val="0003197F"/>
    <w:rsid w:val="000320A5"/>
    <w:rsid w:val="00034B6E"/>
    <w:rsid w:val="00034F09"/>
    <w:rsid w:val="000379AF"/>
    <w:rsid w:val="00040A7E"/>
    <w:rsid w:val="00041F05"/>
    <w:rsid w:val="00042C4C"/>
    <w:rsid w:val="00046605"/>
    <w:rsid w:val="00046DD6"/>
    <w:rsid w:val="00047449"/>
    <w:rsid w:val="0005161C"/>
    <w:rsid w:val="00052052"/>
    <w:rsid w:val="00052812"/>
    <w:rsid w:val="0005640D"/>
    <w:rsid w:val="000602BC"/>
    <w:rsid w:val="00063177"/>
    <w:rsid w:val="000634DB"/>
    <w:rsid w:val="00070ABE"/>
    <w:rsid w:val="00071942"/>
    <w:rsid w:val="00071B94"/>
    <w:rsid w:val="00072133"/>
    <w:rsid w:val="000722C7"/>
    <w:rsid w:val="0007353B"/>
    <w:rsid w:val="0007660D"/>
    <w:rsid w:val="00077289"/>
    <w:rsid w:val="00080636"/>
    <w:rsid w:val="00082149"/>
    <w:rsid w:val="00083D28"/>
    <w:rsid w:val="000855D8"/>
    <w:rsid w:val="0009032B"/>
    <w:rsid w:val="00092249"/>
    <w:rsid w:val="00093A4A"/>
    <w:rsid w:val="000943E6"/>
    <w:rsid w:val="00096323"/>
    <w:rsid w:val="000A11E9"/>
    <w:rsid w:val="000A5E3C"/>
    <w:rsid w:val="000A79E0"/>
    <w:rsid w:val="000A7F21"/>
    <w:rsid w:val="000B4922"/>
    <w:rsid w:val="000B70E7"/>
    <w:rsid w:val="000B735E"/>
    <w:rsid w:val="000C321F"/>
    <w:rsid w:val="000C61C2"/>
    <w:rsid w:val="000C665F"/>
    <w:rsid w:val="000C6A33"/>
    <w:rsid w:val="000D25D5"/>
    <w:rsid w:val="000D5EAB"/>
    <w:rsid w:val="000D667E"/>
    <w:rsid w:val="000D71D9"/>
    <w:rsid w:val="000D7D84"/>
    <w:rsid w:val="000E0BCE"/>
    <w:rsid w:val="000E1E6C"/>
    <w:rsid w:val="000E51EB"/>
    <w:rsid w:val="000E6C07"/>
    <w:rsid w:val="000F5E8E"/>
    <w:rsid w:val="000F67F4"/>
    <w:rsid w:val="000F7653"/>
    <w:rsid w:val="000F7E4E"/>
    <w:rsid w:val="00100D22"/>
    <w:rsid w:val="001019D6"/>
    <w:rsid w:val="0010472D"/>
    <w:rsid w:val="00106302"/>
    <w:rsid w:val="00111A99"/>
    <w:rsid w:val="00112E1B"/>
    <w:rsid w:val="001138CF"/>
    <w:rsid w:val="001169AA"/>
    <w:rsid w:val="001212D9"/>
    <w:rsid w:val="001277BB"/>
    <w:rsid w:val="00127981"/>
    <w:rsid w:val="00140810"/>
    <w:rsid w:val="001429C5"/>
    <w:rsid w:val="00150CDC"/>
    <w:rsid w:val="0015205C"/>
    <w:rsid w:val="00152F7A"/>
    <w:rsid w:val="00161EEF"/>
    <w:rsid w:val="001630BC"/>
    <w:rsid w:val="00164134"/>
    <w:rsid w:val="001651C5"/>
    <w:rsid w:val="00170458"/>
    <w:rsid w:val="00172777"/>
    <w:rsid w:val="00182F3A"/>
    <w:rsid w:val="00185BA2"/>
    <w:rsid w:val="00185F9F"/>
    <w:rsid w:val="00185FE1"/>
    <w:rsid w:val="001868F1"/>
    <w:rsid w:val="0019483B"/>
    <w:rsid w:val="00195B6D"/>
    <w:rsid w:val="00196709"/>
    <w:rsid w:val="001971AC"/>
    <w:rsid w:val="00197D05"/>
    <w:rsid w:val="001A05FD"/>
    <w:rsid w:val="001A2A66"/>
    <w:rsid w:val="001A6BBC"/>
    <w:rsid w:val="001B03F8"/>
    <w:rsid w:val="001B131F"/>
    <w:rsid w:val="001B1699"/>
    <w:rsid w:val="001B408E"/>
    <w:rsid w:val="001B5DD5"/>
    <w:rsid w:val="001B7307"/>
    <w:rsid w:val="001B7875"/>
    <w:rsid w:val="001B7CAD"/>
    <w:rsid w:val="001D0415"/>
    <w:rsid w:val="001D0EBD"/>
    <w:rsid w:val="001E1C67"/>
    <w:rsid w:val="001E3AF9"/>
    <w:rsid w:val="001E48BB"/>
    <w:rsid w:val="001F213E"/>
    <w:rsid w:val="001F502F"/>
    <w:rsid w:val="001F5C94"/>
    <w:rsid w:val="001F75F6"/>
    <w:rsid w:val="00207E12"/>
    <w:rsid w:val="002109CE"/>
    <w:rsid w:val="0021324C"/>
    <w:rsid w:val="002164E8"/>
    <w:rsid w:val="00216C94"/>
    <w:rsid w:val="00217B2D"/>
    <w:rsid w:val="002206DE"/>
    <w:rsid w:val="002234E9"/>
    <w:rsid w:val="00224CFC"/>
    <w:rsid w:val="002308CE"/>
    <w:rsid w:val="002309B6"/>
    <w:rsid w:val="0023459F"/>
    <w:rsid w:val="00234A93"/>
    <w:rsid w:val="00236EFF"/>
    <w:rsid w:val="002408EF"/>
    <w:rsid w:val="002408F7"/>
    <w:rsid w:val="002424E1"/>
    <w:rsid w:val="00242D72"/>
    <w:rsid w:val="00242E1B"/>
    <w:rsid w:val="002518DC"/>
    <w:rsid w:val="00252910"/>
    <w:rsid w:val="00253976"/>
    <w:rsid w:val="00253A04"/>
    <w:rsid w:val="00254493"/>
    <w:rsid w:val="0025466E"/>
    <w:rsid w:val="00254F78"/>
    <w:rsid w:val="00260041"/>
    <w:rsid w:val="00263E79"/>
    <w:rsid w:val="00264355"/>
    <w:rsid w:val="00265F12"/>
    <w:rsid w:val="00266444"/>
    <w:rsid w:val="002671DC"/>
    <w:rsid w:val="00267E07"/>
    <w:rsid w:val="002725B6"/>
    <w:rsid w:val="002752E5"/>
    <w:rsid w:val="00277CE9"/>
    <w:rsid w:val="002822CF"/>
    <w:rsid w:val="00287366"/>
    <w:rsid w:val="00291CB5"/>
    <w:rsid w:val="002967DF"/>
    <w:rsid w:val="002A0A03"/>
    <w:rsid w:val="002A2287"/>
    <w:rsid w:val="002B30D5"/>
    <w:rsid w:val="002B374E"/>
    <w:rsid w:val="002B5064"/>
    <w:rsid w:val="002B5253"/>
    <w:rsid w:val="002B76BB"/>
    <w:rsid w:val="002C3BC4"/>
    <w:rsid w:val="002C47DD"/>
    <w:rsid w:val="002C4C6E"/>
    <w:rsid w:val="002C4CE9"/>
    <w:rsid w:val="002C4FC6"/>
    <w:rsid w:val="002C5286"/>
    <w:rsid w:val="002C55B4"/>
    <w:rsid w:val="002C64E3"/>
    <w:rsid w:val="002D038A"/>
    <w:rsid w:val="002D1506"/>
    <w:rsid w:val="002D2313"/>
    <w:rsid w:val="002D2CB7"/>
    <w:rsid w:val="002D3AA6"/>
    <w:rsid w:val="002D48D2"/>
    <w:rsid w:val="002D7734"/>
    <w:rsid w:val="002E1334"/>
    <w:rsid w:val="002E2499"/>
    <w:rsid w:val="002E4AC7"/>
    <w:rsid w:val="002E6817"/>
    <w:rsid w:val="002E7341"/>
    <w:rsid w:val="002F2173"/>
    <w:rsid w:val="002F7CA1"/>
    <w:rsid w:val="00300A91"/>
    <w:rsid w:val="00301812"/>
    <w:rsid w:val="00301DE7"/>
    <w:rsid w:val="00305F69"/>
    <w:rsid w:val="00310A6E"/>
    <w:rsid w:val="0031259E"/>
    <w:rsid w:val="00313A3B"/>
    <w:rsid w:val="00313CAD"/>
    <w:rsid w:val="003140C3"/>
    <w:rsid w:val="00314290"/>
    <w:rsid w:val="00315A6B"/>
    <w:rsid w:val="003163EC"/>
    <w:rsid w:val="00317565"/>
    <w:rsid w:val="00317E61"/>
    <w:rsid w:val="00320D30"/>
    <w:rsid w:val="00320F65"/>
    <w:rsid w:val="00323FAB"/>
    <w:rsid w:val="00325ABC"/>
    <w:rsid w:val="00326127"/>
    <w:rsid w:val="0032694C"/>
    <w:rsid w:val="00326BC3"/>
    <w:rsid w:val="00331A14"/>
    <w:rsid w:val="003348CB"/>
    <w:rsid w:val="003364B6"/>
    <w:rsid w:val="00344CF3"/>
    <w:rsid w:val="00345064"/>
    <w:rsid w:val="00346391"/>
    <w:rsid w:val="00350771"/>
    <w:rsid w:val="00350790"/>
    <w:rsid w:val="0035213D"/>
    <w:rsid w:val="00353317"/>
    <w:rsid w:val="00356174"/>
    <w:rsid w:val="00356777"/>
    <w:rsid w:val="0036370E"/>
    <w:rsid w:val="00364C1F"/>
    <w:rsid w:val="003678B2"/>
    <w:rsid w:val="00367F1F"/>
    <w:rsid w:val="00377497"/>
    <w:rsid w:val="00380B3E"/>
    <w:rsid w:val="0038250A"/>
    <w:rsid w:val="003867D9"/>
    <w:rsid w:val="0038716A"/>
    <w:rsid w:val="003932DE"/>
    <w:rsid w:val="00397F6B"/>
    <w:rsid w:val="003A12B9"/>
    <w:rsid w:val="003A2E12"/>
    <w:rsid w:val="003A61EB"/>
    <w:rsid w:val="003B1A8C"/>
    <w:rsid w:val="003B1F01"/>
    <w:rsid w:val="003C0782"/>
    <w:rsid w:val="003C0A9F"/>
    <w:rsid w:val="003C1814"/>
    <w:rsid w:val="003C1F14"/>
    <w:rsid w:val="003C2BC9"/>
    <w:rsid w:val="003C59E2"/>
    <w:rsid w:val="003C635A"/>
    <w:rsid w:val="003D24B4"/>
    <w:rsid w:val="003D33F4"/>
    <w:rsid w:val="003D4D46"/>
    <w:rsid w:val="003D52AB"/>
    <w:rsid w:val="003D6860"/>
    <w:rsid w:val="003E2ADD"/>
    <w:rsid w:val="003E3FB6"/>
    <w:rsid w:val="003F26EC"/>
    <w:rsid w:val="003F29E8"/>
    <w:rsid w:val="003F2F57"/>
    <w:rsid w:val="003F61C5"/>
    <w:rsid w:val="00400408"/>
    <w:rsid w:val="00405D45"/>
    <w:rsid w:val="00410737"/>
    <w:rsid w:val="0041230A"/>
    <w:rsid w:val="00412916"/>
    <w:rsid w:val="00415362"/>
    <w:rsid w:val="0041662A"/>
    <w:rsid w:val="00421414"/>
    <w:rsid w:val="0042501F"/>
    <w:rsid w:val="0042558F"/>
    <w:rsid w:val="00425A16"/>
    <w:rsid w:val="004306BB"/>
    <w:rsid w:val="00434ED9"/>
    <w:rsid w:val="00435598"/>
    <w:rsid w:val="00436A00"/>
    <w:rsid w:val="00436B56"/>
    <w:rsid w:val="00436C9E"/>
    <w:rsid w:val="00437325"/>
    <w:rsid w:val="00437EE2"/>
    <w:rsid w:val="00441109"/>
    <w:rsid w:val="00444248"/>
    <w:rsid w:val="00451464"/>
    <w:rsid w:val="00453A40"/>
    <w:rsid w:val="00453D72"/>
    <w:rsid w:val="00456D83"/>
    <w:rsid w:val="004577E9"/>
    <w:rsid w:val="00462C5C"/>
    <w:rsid w:val="004637C2"/>
    <w:rsid w:val="0046386B"/>
    <w:rsid w:val="00465D29"/>
    <w:rsid w:val="004724C6"/>
    <w:rsid w:val="00473AF4"/>
    <w:rsid w:val="00474BA3"/>
    <w:rsid w:val="00474F21"/>
    <w:rsid w:val="00475BBF"/>
    <w:rsid w:val="00477161"/>
    <w:rsid w:val="00477E20"/>
    <w:rsid w:val="00482247"/>
    <w:rsid w:val="00484764"/>
    <w:rsid w:val="00484A00"/>
    <w:rsid w:val="0048581A"/>
    <w:rsid w:val="00485A03"/>
    <w:rsid w:val="00485A23"/>
    <w:rsid w:val="00485CF9"/>
    <w:rsid w:val="00495525"/>
    <w:rsid w:val="004A56BA"/>
    <w:rsid w:val="004A6FFB"/>
    <w:rsid w:val="004A76FA"/>
    <w:rsid w:val="004A79B7"/>
    <w:rsid w:val="004B1F38"/>
    <w:rsid w:val="004B2D00"/>
    <w:rsid w:val="004B56E0"/>
    <w:rsid w:val="004B5AB9"/>
    <w:rsid w:val="004B5C85"/>
    <w:rsid w:val="004B7E3B"/>
    <w:rsid w:val="004C2935"/>
    <w:rsid w:val="004C6876"/>
    <w:rsid w:val="004D38F2"/>
    <w:rsid w:val="004D3EA5"/>
    <w:rsid w:val="004D460A"/>
    <w:rsid w:val="004D6C58"/>
    <w:rsid w:val="004E018D"/>
    <w:rsid w:val="004E1783"/>
    <w:rsid w:val="004E6B93"/>
    <w:rsid w:val="004E7642"/>
    <w:rsid w:val="004F20F6"/>
    <w:rsid w:val="004F3010"/>
    <w:rsid w:val="004F3E8A"/>
    <w:rsid w:val="004F4BC1"/>
    <w:rsid w:val="004F6612"/>
    <w:rsid w:val="004F6A11"/>
    <w:rsid w:val="004F7819"/>
    <w:rsid w:val="00502589"/>
    <w:rsid w:val="005070CF"/>
    <w:rsid w:val="0050726A"/>
    <w:rsid w:val="00511B24"/>
    <w:rsid w:val="00513E83"/>
    <w:rsid w:val="0052086E"/>
    <w:rsid w:val="00526666"/>
    <w:rsid w:val="005275B1"/>
    <w:rsid w:val="0053010D"/>
    <w:rsid w:val="00533305"/>
    <w:rsid w:val="005376A9"/>
    <w:rsid w:val="005416E8"/>
    <w:rsid w:val="0054236A"/>
    <w:rsid w:val="00545D07"/>
    <w:rsid w:val="00547F71"/>
    <w:rsid w:val="00551DD7"/>
    <w:rsid w:val="00552C10"/>
    <w:rsid w:val="005537FA"/>
    <w:rsid w:val="00553E1F"/>
    <w:rsid w:val="00555D50"/>
    <w:rsid w:val="0055667F"/>
    <w:rsid w:val="00556CD0"/>
    <w:rsid w:val="00561EAE"/>
    <w:rsid w:val="00562794"/>
    <w:rsid w:val="00563685"/>
    <w:rsid w:val="00564394"/>
    <w:rsid w:val="00565E67"/>
    <w:rsid w:val="00566239"/>
    <w:rsid w:val="005668E4"/>
    <w:rsid w:val="00566AEE"/>
    <w:rsid w:val="0056750D"/>
    <w:rsid w:val="00570EB3"/>
    <w:rsid w:val="005801C9"/>
    <w:rsid w:val="00580BA9"/>
    <w:rsid w:val="00582898"/>
    <w:rsid w:val="0058300F"/>
    <w:rsid w:val="00583CB0"/>
    <w:rsid w:val="00585785"/>
    <w:rsid w:val="00585BCD"/>
    <w:rsid w:val="005906C0"/>
    <w:rsid w:val="005906EB"/>
    <w:rsid w:val="00592BDC"/>
    <w:rsid w:val="00593AA5"/>
    <w:rsid w:val="00593CC4"/>
    <w:rsid w:val="0059609A"/>
    <w:rsid w:val="005A196A"/>
    <w:rsid w:val="005A7230"/>
    <w:rsid w:val="005B53CB"/>
    <w:rsid w:val="005C073F"/>
    <w:rsid w:val="005C2EA4"/>
    <w:rsid w:val="005C3B9E"/>
    <w:rsid w:val="005C4413"/>
    <w:rsid w:val="005C59FA"/>
    <w:rsid w:val="005C6937"/>
    <w:rsid w:val="005D0CE7"/>
    <w:rsid w:val="005D43AE"/>
    <w:rsid w:val="005D77C4"/>
    <w:rsid w:val="005D7B03"/>
    <w:rsid w:val="005E148B"/>
    <w:rsid w:val="005E34B2"/>
    <w:rsid w:val="005E62D4"/>
    <w:rsid w:val="005F2CC8"/>
    <w:rsid w:val="005F5D67"/>
    <w:rsid w:val="005F6994"/>
    <w:rsid w:val="0060217B"/>
    <w:rsid w:val="00603AE8"/>
    <w:rsid w:val="00611C2F"/>
    <w:rsid w:val="00613516"/>
    <w:rsid w:val="006158BF"/>
    <w:rsid w:val="00617E25"/>
    <w:rsid w:val="00620263"/>
    <w:rsid w:val="0062099C"/>
    <w:rsid w:val="0062151F"/>
    <w:rsid w:val="00636E45"/>
    <w:rsid w:val="00637780"/>
    <w:rsid w:val="00640547"/>
    <w:rsid w:val="00640829"/>
    <w:rsid w:val="00642872"/>
    <w:rsid w:val="00644AEF"/>
    <w:rsid w:val="006466CB"/>
    <w:rsid w:val="00646DF0"/>
    <w:rsid w:val="00651A2D"/>
    <w:rsid w:val="00661E1E"/>
    <w:rsid w:val="00671452"/>
    <w:rsid w:val="0067249C"/>
    <w:rsid w:val="0067613F"/>
    <w:rsid w:val="00677498"/>
    <w:rsid w:val="00677512"/>
    <w:rsid w:val="00680B2D"/>
    <w:rsid w:val="00692A91"/>
    <w:rsid w:val="00694F3B"/>
    <w:rsid w:val="00695D3F"/>
    <w:rsid w:val="00697AB0"/>
    <w:rsid w:val="006A18A3"/>
    <w:rsid w:val="006A2F12"/>
    <w:rsid w:val="006B040D"/>
    <w:rsid w:val="006B35CE"/>
    <w:rsid w:val="006B4957"/>
    <w:rsid w:val="006B4B95"/>
    <w:rsid w:val="006B4C7A"/>
    <w:rsid w:val="006B5351"/>
    <w:rsid w:val="006B63A1"/>
    <w:rsid w:val="006D3483"/>
    <w:rsid w:val="006D585A"/>
    <w:rsid w:val="006D5C0D"/>
    <w:rsid w:val="006E23D2"/>
    <w:rsid w:val="006E2552"/>
    <w:rsid w:val="006F294C"/>
    <w:rsid w:val="006F4FD3"/>
    <w:rsid w:val="00707460"/>
    <w:rsid w:val="00707FD2"/>
    <w:rsid w:val="007160D7"/>
    <w:rsid w:val="0071716D"/>
    <w:rsid w:val="00717591"/>
    <w:rsid w:val="00717963"/>
    <w:rsid w:val="00722F01"/>
    <w:rsid w:val="00725075"/>
    <w:rsid w:val="00727675"/>
    <w:rsid w:val="00731932"/>
    <w:rsid w:val="007343C0"/>
    <w:rsid w:val="0074058B"/>
    <w:rsid w:val="00742622"/>
    <w:rsid w:val="00742A73"/>
    <w:rsid w:val="007441D6"/>
    <w:rsid w:val="0074445F"/>
    <w:rsid w:val="007473BD"/>
    <w:rsid w:val="00747C08"/>
    <w:rsid w:val="00753907"/>
    <w:rsid w:val="00754239"/>
    <w:rsid w:val="007543EB"/>
    <w:rsid w:val="00756C93"/>
    <w:rsid w:val="007628C3"/>
    <w:rsid w:val="00762B9B"/>
    <w:rsid w:val="00763563"/>
    <w:rsid w:val="007643E9"/>
    <w:rsid w:val="00764F28"/>
    <w:rsid w:val="00766234"/>
    <w:rsid w:val="00766606"/>
    <w:rsid w:val="00767EA3"/>
    <w:rsid w:val="007700A5"/>
    <w:rsid w:val="00774070"/>
    <w:rsid w:val="00786341"/>
    <w:rsid w:val="00797B14"/>
    <w:rsid w:val="007A2BBF"/>
    <w:rsid w:val="007A2F83"/>
    <w:rsid w:val="007A42CA"/>
    <w:rsid w:val="007A4818"/>
    <w:rsid w:val="007B10A4"/>
    <w:rsid w:val="007B12B4"/>
    <w:rsid w:val="007B4907"/>
    <w:rsid w:val="007B491A"/>
    <w:rsid w:val="007B4E88"/>
    <w:rsid w:val="007C2A7C"/>
    <w:rsid w:val="007C2C10"/>
    <w:rsid w:val="007C33F2"/>
    <w:rsid w:val="007D1E0E"/>
    <w:rsid w:val="007D2341"/>
    <w:rsid w:val="007D3BE2"/>
    <w:rsid w:val="007D59E6"/>
    <w:rsid w:val="007E1C9B"/>
    <w:rsid w:val="007E2ED7"/>
    <w:rsid w:val="007E6A2D"/>
    <w:rsid w:val="007E7271"/>
    <w:rsid w:val="007E76BB"/>
    <w:rsid w:val="007F2E8D"/>
    <w:rsid w:val="007F6213"/>
    <w:rsid w:val="007F6A6F"/>
    <w:rsid w:val="007F7BE4"/>
    <w:rsid w:val="00800BA2"/>
    <w:rsid w:val="0080291B"/>
    <w:rsid w:val="00802B6A"/>
    <w:rsid w:val="008031B4"/>
    <w:rsid w:val="008032A1"/>
    <w:rsid w:val="008038B1"/>
    <w:rsid w:val="008040F3"/>
    <w:rsid w:val="008041DF"/>
    <w:rsid w:val="0080665F"/>
    <w:rsid w:val="008074E0"/>
    <w:rsid w:val="00817198"/>
    <w:rsid w:val="00817A16"/>
    <w:rsid w:val="00826808"/>
    <w:rsid w:val="00831E44"/>
    <w:rsid w:val="008328ED"/>
    <w:rsid w:val="00833DE3"/>
    <w:rsid w:val="0083440D"/>
    <w:rsid w:val="008346C9"/>
    <w:rsid w:val="008377C0"/>
    <w:rsid w:val="008412B1"/>
    <w:rsid w:val="00841E48"/>
    <w:rsid w:val="00843DFD"/>
    <w:rsid w:val="00844F98"/>
    <w:rsid w:val="00845787"/>
    <w:rsid w:val="00845CAE"/>
    <w:rsid w:val="00852C46"/>
    <w:rsid w:val="00853F46"/>
    <w:rsid w:val="00856356"/>
    <w:rsid w:val="008573AD"/>
    <w:rsid w:val="008649CF"/>
    <w:rsid w:val="00865E80"/>
    <w:rsid w:val="00866F38"/>
    <w:rsid w:val="00872BDA"/>
    <w:rsid w:val="008748AB"/>
    <w:rsid w:val="008803B8"/>
    <w:rsid w:val="00883502"/>
    <w:rsid w:val="00883C8D"/>
    <w:rsid w:val="00886678"/>
    <w:rsid w:val="008A02AC"/>
    <w:rsid w:val="008A09E3"/>
    <w:rsid w:val="008A0F9E"/>
    <w:rsid w:val="008A16BF"/>
    <w:rsid w:val="008A2686"/>
    <w:rsid w:val="008A4274"/>
    <w:rsid w:val="008A5587"/>
    <w:rsid w:val="008A62A8"/>
    <w:rsid w:val="008B0F4C"/>
    <w:rsid w:val="008B101E"/>
    <w:rsid w:val="008B1E10"/>
    <w:rsid w:val="008B276C"/>
    <w:rsid w:val="008B4C01"/>
    <w:rsid w:val="008B5256"/>
    <w:rsid w:val="008B70FF"/>
    <w:rsid w:val="008B7354"/>
    <w:rsid w:val="008C1861"/>
    <w:rsid w:val="008D1461"/>
    <w:rsid w:val="008D341F"/>
    <w:rsid w:val="008D6258"/>
    <w:rsid w:val="008D6EE1"/>
    <w:rsid w:val="008F4271"/>
    <w:rsid w:val="0090055D"/>
    <w:rsid w:val="00900768"/>
    <w:rsid w:val="009007F3"/>
    <w:rsid w:val="009024A3"/>
    <w:rsid w:val="00902A93"/>
    <w:rsid w:val="00903039"/>
    <w:rsid w:val="00910F1A"/>
    <w:rsid w:val="00914946"/>
    <w:rsid w:val="00914F50"/>
    <w:rsid w:val="00915D5F"/>
    <w:rsid w:val="00916F0B"/>
    <w:rsid w:val="00917DEF"/>
    <w:rsid w:val="00920700"/>
    <w:rsid w:val="009227B6"/>
    <w:rsid w:val="00922DB7"/>
    <w:rsid w:val="00922E42"/>
    <w:rsid w:val="00923D42"/>
    <w:rsid w:val="00926D04"/>
    <w:rsid w:val="00927A4B"/>
    <w:rsid w:val="00930F36"/>
    <w:rsid w:val="00935019"/>
    <w:rsid w:val="00942195"/>
    <w:rsid w:val="00942E56"/>
    <w:rsid w:val="00944230"/>
    <w:rsid w:val="009450FF"/>
    <w:rsid w:val="00946D67"/>
    <w:rsid w:val="00947BC5"/>
    <w:rsid w:val="00947CB2"/>
    <w:rsid w:val="00950149"/>
    <w:rsid w:val="00951F63"/>
    <w:rsid w:val="009521FE"/>
    <w:rsid w:val="00954297"/>
    <w:rsid w:val="0095430E"/>
    <w:rsid w:val="00960E7A"/>
    <w:rsid w:val="009634DE"/>
    <w:rsid w:val="009635D9"/>
    <w:rsid w:val="00970231"/>
    <w:rsid w:val="00971519"/>
    <w:rsid w:val="00974B4B"/>
    <w:rsid w:val="0098120D"/>
    <w:rsid w:val="009812A0"/>
    <w:rsid w:val="00981A23"/>
    <w:rsid w:val="00981A75"/>
    <w:rsid w:val="0098357C"/>
    <w:rsid w:val="0098472B"/>
    <w:rsid w:val="00991772"/>
    <w:rsid w:val="00992874"/>
    <w:rsid w:val="00995AE6"/>
    <w:rsid w:val="00995C55"/>
    <w:rsid w:val="009A0260"/>
    <w:rsid w:val="009A103F"/>
    <w:rsid w:val="009A43C3"/>
    <w:rsid w:val="009A48B9"/>
    <w:rsid w:val="009A5AAC"/>
    <w:rsid w:val="009A62BA"/>
    <w:rsid w:val="009A69B1"/>
    <w:rsid w:val="009B26D0"/>
    <w:rsid w:val="009B2917"/>
    <w:rsid w:val="009B3AF1"/>
    <w:rsid w:val="009C712A"/>
    <w:rsid w:val="009C754C"/>
    <w:rsid w:val="009C762C"/>
    <w:rsid w:val="009D02DE"/>
    <w:rsid w:val="009D3BA1"/>
    <w:rsid w:val="009D6F8C"/>
    <w:rsid w:val="009E1710"/>
    <w:rsid w:val="009E3894"/>
    <w:rsid w:val="009E4A2E"/>
    <w:rsid w:val="009F0CCF"/>
    <w:rsid w:val="009F511E"/>
    <w:rsid w:val="00A06AE9"/>
    <w:rsid w:val="00A1027B"/>
    <w:rsid w:val="00A1255D"/>
    <w:rsid w:val="00A13DF1"/>
    <w:rsid w:val="00A14E36"/>
    <w:rsid w:val="00A1592D"/>
    <w:rsid w:val="00A15C50"/>
    <w:rsid w:val="00A175CD"/>
    <w:rsid w:val="00A17DD8"/>
    <w:rsid w:val="00A204E9"/>
    <w:rsid w:val="00A24E68"/>
    <w:rsid w:val="00A3470B"/>
    <w:rsid w:val="00A37897"/>
    <w:rsid w:val="00A40848"/>
    <w:rsid w:val="00A5213F"/>
    <w:rsid w:val="00A52A89"/>
    <w:rsid w:val="00A52C12"/>
    <w:rsid w:val="00A53F33"/>
    <w:rsid w:val="00A55F32"/>
    <w:rsid w:val="00A56C5F"/>
    <w:rsid w:val="00A576BC"/>
    <w:rsid w:val="00A601D1"/>
    <w:rsid w:val="00A62ADF"/>
    <w:rsid w:val="00A6772A"/>
    <w:rsid w:val="00A74E06"/>
    <w:rsid w:val="00A75AA6"/>
    <w:rsid w:val="00A75D78"/>
    <w:rsid w:val="00A818B6"/>
    <w:rsid w:val="00A8275B"/>
    <w:rsid w:val="00A84C97"/>
    <w:rsid w:val="00A85EFB"/>
    <w:rsid w:val="00A860D2"/>
    <w:rsid w:val="00A86F9C"/>
    <w:rsid w:val="00AA0E73"/>
    <w:rsid w:val="00AA44B6"/>
    <w:rsid w:val="00AB208A"/>
    <w:rsid w:val="00AB4DF0"/>
    <w:rsid w:val="00AB67CA"/>
    <w:rsid w:val="00AC2671"/>
    <w:rsid w:val="00AC34FA"/>
    <w:rsid w:val="00AC44F1"/>
    <w:rsid w:val="00AC54AB"/>
    <w:rsid w:val="00AD004C"/>
    <w:rsid w:val="00AD3218"/>
    <w:rsid w:val="00AD6FBB"/>
    <w:rsid w:val="00AD7273"/>
    <w:rsid w:val="00AD7D2D"/>
    <w:rsid w:val="00AE0B26"/>
    <w:rsid w:val="00AE5C0D"/>
    <w:rsid w:val="00AE6B3F"/>
    <w:rsid w:val="00AF09DA"/>
    <w:rsid w:val="00AF23F7"/>
    <w:rsid w:val="00AF48DC"/>
    <w:rsid w:val="00AF6A35"/>
    <w:rsid w:val="00AF77E6"/>
    <w:rsid w:val="00B00195"/>
    <w:rsid w:val="00B01316"/>
    <w:rsid w:val="00B030FB"/>
    <w:rsid w:val="00B03126"/>
    <w:rsid w:val="00B03173"/>
    <w:rsid w:val="00B04C05"/>
    <w:rsid w:val="00B04C0D"/>
    <w:rsid w:val="00B05C1D"/>
    <w:rsid w:val="00B076A5"/>
    <w:rsid w:val="00B1280C"/>
    <w:rsid w:val="00B1298B"/>
    <w:rsid w:val="00B13FF0"/>
    <w:rsid w:val="00B207E3"/>
    <w:rsid w:val="00B21109"/>
    <w:rsid w:val="00B2620D"/>
    <w:rsid w:val="00B3083E"/>
    <w:rsid w:val="00B31B0B"/>
    <w:rsid w:val="00B34999"/>
    <w:rsid w:val="00B45A92"/>
    <w:rsid w:val="00B50482"/>
    <w:rsid w:val="00B5333C"/>
    <w:rsid w:val="00B53E7B"/>
    <w:rsid w:val="00B54C4A"/>
    <w:rsid w:val="00B55780"/>
    <w:rsid w:val="00B57D4E"/>
    <w:rsid w:val="00B57DBD"/>
    <w:rsid w:val="00B6094E"/>
    <w:rsid w:val="00B60D7E"/>
    <w:rsid w:val="00B6208B"/>
    <w:rsid w:val="00B62807"/>
    <w:rsid w:val="00B62A7D"/>
    <w:rsid w:val="00B644AD"/>
    <w:rsid w:val="00B64B00"/>
    <w:rsid w:val="00B66703"/>
    <w:rsid w:val="00B70E1C"/>
    <w:rsid w:val="00B72AC2"/>
    <w:rsid w:val="00B72D86"/>
    <w:rsid w:val="00B74566"/>
    <w:rsid w:val="00B7576E"/>
    <w:rsid w:val="00B762D5"/>
    <w:rsid w:val="00B77677"/>
    <w:rsid w:val="00B80287"/>
    <w:rsid w:val="00B81721"/>
    <w:rsid w:val="00B82466"/>
    <w:rsid w:val="00B83CB1"/>
    <w:rsid w:val="00B85217"/>
    <w:rsid w:val="00B85602"/>
    <w:rsid w:val="00B856CA"/>
    <w:rsid w:val="00B87088"/>
    <w:rsid w:val="00B91A58"/>
    <w:rsid w:val="00B93B25"/>
    <w:rsid w:val="00B94CFF"/>
    <w:rsid w:val="00BA03CE"/>
    <w:rsid w:val="00BA587E"/>
    <w:rsid w:val="00BA5CC4"/>
    <w:rsid w:val="00BA5D60"/>
    <w:rsid w:val="00BB68EB"/>
    <w:rsid w:val="00BB6DB0"/>
    <w:rsid w:val="00BB7113"/>
    <w:rsid w:val="00BB79FE"/>
    <w:rsid w:val="00BC1967"/>
    <w:rsid w:val="00BC2DCE"/>
    <w:rsid w:val="00BC3283"/>
    <w:rsid w:val="00BC7909"/>
    <w:rsid w:val="00BC7DC8"/>
    <w:rsid w:val="00BD2D76"/>
    <w:rsid w:val="00BD34BA"/>
    <w:rsid w:val="00BD45C5"/>
    <w:rsid w:val="00BE066C"/>
    <w:rsid w:val="00BE0FCE"/>
    <w:rsid w:val="00BE38B9"/>
    <w:rsid w:val="00BE461C"/>
    <w:rsid w:val="00BE73ED"/>
    <w:rsid w:val="00BE782C"/>
    <w:rsid w:val="00BF08A8"/>
    <w:rsid w:val="00BF4458"/>
    <w:rsid w:val="00BF630C"/>
    <w:rsid w:val="00C0028B"/>
    <w:rsid w:val="00C0331A"/>
    <w:rsid w:val="00C04961"/>
    <w:rsid w:val="00C0499E"/>
    <w:rsid w:val="00C135AF"/>
    <w:rsid w:val="00C14C2B"/>
    <w:rsid w:val="00C15EA0"/>
    <w:rsid w:val="00C17AE5"/>
    <w:rsid w:val="00C21395"/>
    <w:rsid w:val="00C213A5"/>
    <w:rsid w:val="00C22213"/>
    <w:rsid w:val="00C2335E"/>
    <w:rsid w:val="00C2508D"/>
    <w:rsid w:val="00C3145C"/>
    <w:rsid w:val="00C32D46"/>
    <w:rsid w:val="00C33065"/>
    <w:rsid w:val="00C338C7"/>
    <w:rsid w:val="00C364A4"/>
    <w:rsid w:val="00C40E85"/>
    <w:rsid w:val="00C55A91"/>
    <w:rsid w:val="00C57305"/>
    <w:rsid w:val="00C57E5B"/>
    <w:rsid w:val="00C61401"/>
    <w:rsid w:val="00C6142B"/>
    <w:rsid w:val="00C6692A"/>
    <w:rsid w:val="00C71886"/>
    <w:rsid w:val="00C732EA"/>
    <w:rsid w:val="00C7373F"/>
    <w:rsid w:val="00C7449F"/>
    <w:rsid w:val="00C7599A"/>
    <w:rsid w:val="00C75D9A"/>
    <w:rsid w:val="00C7677A"/>
    <w:rsid w:val="00C77B12"/>
    <w:rsid w:val="00C80EEB"/>
    <w:rsid w:val="00C847D6"/>
    <w:rsid w:val="00C93D46"/>
    <w:rsid w:val="00C94976"/>
    <w:rsid w:val="00CA0BA4"/>
    <w:rsid w:val="00CA4AFD"/>
    <w:rsid w:val="00CA5D45"/>
    <w:rsid w:val="00CB0851"/>
    <w:rsid w:val="00CB19F3"/>
    <w:rsid w:val="00CB2EF6"/>
    <w:rsid w:val="00CB78A4"/>
    <w:rsid w:val="00CC2E38"/>
    <w:rsid w:val="00CC32B3"/>
    <w:rsid w:val="00CC6AF5"/>
    <w:rsid w:val="00CC7549"/>
    <w:rsid w:val="00CD0BB9"/>
    <w:rsid w:val="00CD2CA3"/>
    <w:rsid w:val="00CD3564"/>
    <w:rsid w:val="00CD6DFA"/>
    <w:rsid w:val="00CD7089"/>
    <w:rsid w:val="00CE0F39"/>
    <w:rsid w:val="00CE693B"/>
    <w:rsid w:val="00CE7320"/>
    <w:rsid w:val="00CF3707"/>
    <w:rsid w:val="00CF6151"/>
    <w:rsid w:val="00D00572"/>
    <w:rsid w:val="00D02299"/>
    <w:rsid w:val="00D02548"/>
    <w:rsid w:val="00D10CCD"/>
    <w:rsid w:val="00D15AE7"/>
    <w:rsid w:val="00D15FDB"/>
    <w:rsid w:val="00D1648C"/>
    <w:rsid w:val="00D17AF8"/>
    <w:rsid w:val="00D20143"/>
    <w:rsid w:val="00D24564"/>
    <w:rsid w:val="00D266FF"/>
    <w:rsid w:val="00D32B3D"/>
    <w:rsid w:val="00D36687"/>
    <w:rsid w:val="00D3707F"/>
    <w:rsid w:val="00D4206D"/>
    <w:rsid w:val="00D4315A"/>
    <w:rsid w:val="00D45C5C"/>
    <w:rsid w:val="00D50808"/>
    <w:rsid w:val="00D515B7"/>
    <w:rsid w:val="00D529C9"/>
    <w:rsid w:val="00D5374A"/>
    <w:rsid w:val="00D61544"/>
    <w:rsid w:val="00D63751"/>
    <w:rsid w:val="00D63F0E"/>
    <w:rsid w:val="00D800CC"/>
    <w:rsid w:val="00D92A48"/>
    <w:rsid w:val="00D936CB"/>
    <w:rsid w:val="00D94D58"/>
    <w:rsid w:val="00D9782D"/>
    <w:rsid w:val="00DA0963"/>
    <w:rsid w:val="00DA38E9"/>
    <w:rsid w:val="00DA4243"/>
    <w:rsid w:val="00DA4D53"/>
    <w:rsid w:val="00DA5156"/>
    <w:rsid w:val="00DB43CA"/>
    <w:rsid w:val="00DB6F86"/>
    <w:rsid w:val="00DB7C24"/>
    <w:rsid w:val="00DC0566"/>
    <w:rsid w:val="00DC06D6"/>
    <w:rsid w:val="00DC45F2"/>
    <w:rsid w:val="00DC65E5"/>
    <w:rsid w:val="00DD1CD5"/>
    <w:rsid w:val="00DD4629"/>
    <w:rsid w:val="00DD497B"/>
    <w:rsid w:val="00DD4E72"/>
    <w:rsid w:val="00DE329F"/>
    <w:rsid w:val="00DE79C4"/>
    <w:rsid w:val="00DF0254"/>
    <w:rsid w:val="00DF285B"/>
    <w:rsid w:val="00DF3F28"/>
    <w:rsid w:val="00DF5FA5"/>
    <w:rsid w:val="00E01903"/>
    <w:rsid w:val="00E0315C"/>
    <w:rsid w:val="00E03515"/>
    <w:rsid w:val="00E03B20"/>
    <w:rsid w:val="00E11223"/>
    <w:rsid w:val="00E12903"/>
    <w:rsid w:val="00E13E8C"/>
    <w:rsid w:val="00E17282"/>
    <w:rsid w:val="00E17527"/>
    <w:rsid w:val="00E306BC"/>
    <w:rsid w:val="00E3200A"/>
    <w:rsid w:val="00E32BF3"/>
    <w:rsid w:val="00E3302A"/>
    <w:rsid w:val="00E35E8C"/>
    <w:rsid w:val="00E3669B"/>
    <w:rsid w:val="00E40482"/>
    <w:rsid w:val="00E40EB3"/>
    <w:rsid w:val="00E4192A"/>
    <w:rsid w:val="00E45AEA"/>
    <w:rsid w:val="00E45D28"/>
    <w:rsid w:val="00E47475"/>
    <w:rsid w:val="00E50077"/>
    <w:rsid w:val="00E52F17"/>
    <w:rsid w:val="00E5423B"/>
    <w:rsid w:val="00E56B26"/>
    <w:rsid w:val="00E56BE9"/>
    <w:rsid w:val="00E61C8E"/>
    <w:rsid w:val="00E61F59"/>
    <w:rsid w:val="00E6785B"/>
    <w:rsid w:val="00E72937"/>
    <w:rsid w:val="00E72CBD"/>
    <w:rsid w:val="00E74955"/>
    <w:rsid w:val="00E75FF6"/>
    <w:rsid w:val="00E81AEF"/>
    <w:rsid w:val="00E83242"/>
    <w:rsid w:val="00E838F8"/>
    <w:rsid w:val="00E86001"/>
    <w:rsid w:val="00E9061E"/>
    <w:rsid w:val="00E95BDD"/>
    <w:rsid w:val="00EA02F7"/>
    <w:rsid w:val="00EA11B8"/>
    <w:rsid w:val="00EA52AA"/>
    <w:rsid w:val="00EB0A46"/>
    <w:rsid w:val="00EB0C7C"/>
    <w:rsid w:val="00EB3E7D"/>
    <w:rsid w:val="00EB7366"/>
    <w:rsid w:val="00EC0124"/>
    <w:rsid w:val="00EC69E9"/>
    <w:rsid w:val="00EC714F"/>
    <w:rsid w:val="00ED05E2"/>
    <w:rsid w:val="00ED0B70"/>
    <w:rsid w:val="00ED6BAC"/>
    <w:rsid w:val="00ED7F6D"/>
    <w:rsid w:val="00EF0B34"/>
    <w:rsid w:val="00EF2612"/>
    <w:rsid w:val="00EF53EC"/>
    <w:rsid w:val="00F01473"/>
    <w:rsid w:val="00F045AB"/>
    <w:rsid w:val="00F05662"/>
    <w:rsid w:val="00F11E3D"/>
    <w:rsid w:val="00F1292C"/>
    <w:rsid w:val="00F153AB"/>
    <w:rsid w:val="00F16C6A"/>
    <w:rsid w:val="00F20043"/>
    <w:rsid w:val="00F207D4"/>
    <w:rsid w:val="00F2172A"/>
    <w:rsid w:val="00F21C5F"/>
    <w:rsid w:val="00F227FE"/>
    <w:rsid w:val="00F23EDC"/>
    <w:rsid w:val="00F24385"/>
    <w:rsid w:val="00F2454C"/>
    <w:rsid w:val="00F30047"/>
    <w:rsid w:val="00F32ADA"/>
    <w:rsid w:val="00F34187"/>
    <w:rsid w:val="00F35E26"/>
    <w:rsid w:val="00F43493"/>
    <w:rsid w:val="00F43515"/>
    <w:rsid w:val="00F43B13"/>
    <w:rsid w:val="00F479A0"/>
    <w:rsid w:val="00F508B9"/>
    <w:rsid w:val="00F51E0F"/>
    <w:rsid w:val="00F56FA6"/>
    <w:rsid w:val="00F62121"/>
    <w:rsid w:val="00F6327F"/>
    <w:rsid w:val="00F65F90"/>
    <w:rsid w:val="00F66FBE"/>
    <w:rsid w:val="00F7354F"/>
    <w:rsid w:val="00F73ED8"/>
    <w:rsid w:val="00F80249"/>
    <w:rsid w:val="00F81FEA"/>
    <w:rsid w:val="00F82D04"/>
    <w:rsid w:val="00F82E14"/>
    <w:rsid w:val="00F853C9"/>
    <w:rsid w:val="00F859E1"/>
    <w:rsid w:val="00F92117"/>
    <w:rsid w:val="00FA48F6"/>
    <w:rsid w:val="00FB3837"/>
    <w:rsid w:val="00FB47D1"/>
    <w:rsid w:val="00FB5D3F"/>
    <w:rsid w:val="00FB6041"/>
    <w:rsid w:val="00FC0A15"/>
    <w:rsid w:val="00FC19CF"/>
    <w:rsid w:val="00FC4B0E"/>
    <w:rsid w:val="00FC4CAC"/>
    <w:rsid w:val="00FC7D83"/>
    <w:rsid w:val="00FD2D57"/>
    <w:rsid w:val="00FE353A"/>
    <w:rsid w:val="00FE5534"/>
    <w:rsid w:val="00FE6A8E"/>
    <w:rsid w:val="00FE719A"/>
    <w:rsid w:val="00FF413D"/>
    <w:rsid w:val="00FF44A9"/>
    <w:rsid w:val="00FF55F5"/>
    <w:rsid w:val="00FF79CC"/>
    <w:rsid w:val="023E44DD"/>
    <w:rsid w:val="08FF6402"/>
    <w:rsid w:val="092B34C5"/>
    <w:rsid w:val="09346F9E"/>
    <w:rsid w:val="0BDF785F"/>
    <w:rsid w:val="0C7402DA"/>
    <w:rsid w:val="0E1C0286"/>
    <w:rsid w:val="0E3D788D"/>
    <w:rsid w:val="10B67FCA"/>
    <w:rsid w:val="10F57D16"/>
    <w:rsid w:val="14F22EDB"/>
    <w:rsid w:val="154C48E9"/>
    <w:rsid w:val="183618FB"/>
    <w:rsid w:val="184D69FD"/>
    <w:rsid w:val="18574779"/>
    <w:rsid w:val="18DC1D24"/>
    <w:rsid w:val="1A1651E1"/>
    <w:rsid w:val="1B030946"/>
    <w:rsid w:val="1B100ACE"/>
    <w:rsid w:val="1EC937DB"/>
    <w:rsid w:val="1FD1089D"/>
    <w:rsid w:val="21596BE5"/>
    <w:rsid w:val="2479679A"/>
    <w:rsid w:val="249D2C73"/>
    <w:rsid w:val="24C46617"/>
    <w:rsid w:val="25FC7793"/>
    <w:rsid w:val="26CD1128"/>
    <w:rsid w:val="27344981"/>
    <w:rsid w:val="273741E4"/>
    <w:rsid w:val="27521B73"/>
    <w:rsid w:val="2830246A"/>
    <w:rsid w:val="29A82584"/>
    <w:rsid w:val="2A4228EA"/>
    <w:rsid w:val="2BBA3EFA"/>
    <w:rsid w:val="2CC053C6"/>
    <w:rsid w:val="2CFB2F4F"/>
    <w:rsid w:val="2FAA23C1"/>
    <w:rsid w:val="30A92D9F"/>
    <w:rsid w:val="3127616C"/>
    <w:rsid w:val="32566650"/>
    <w:rsid w:val="364D125D"/>
    <w:rsid w:val="368C5B95"/>
    <w:rsid w:val="39CA19EE"/>
    <w:rsid w:val="3D352C8F"/>
    <w:rsid w:val="40653678"/>
    <w:rsid w:val="42877F46"/>
    <w:rsid w:val="429517B5"/>
    <w:rsid w:val="42F33EB0"/>
    <w:rsid w:val="43B02BAC"/>
    <w:rsid w:val="44CD20CF"/>
    <w:rsid w:val="465E7EDB"/>
    <w:rsid w:val="46ED21D9"/>
    <w:rsid w:val="49CF073D"/>
    <w:rsid w:val="49CF4DB8"/>
    <w:rsid w:val="4C95684D"/>
    <w:rsid w:val="4CF806AA"/>
    <w:rsid w:val="4D7E73D4"/>
    <w:rsid w:val="4E7C071F"/>
    <w:rsid w:val="4F130A87"/>
    <w:rsid w:val="4F4920C0"/>
    <w:rsid w:val="4F4D444D"/>
    <w:rsid w:val="51A20B79"/>
    <w:rsid w:val="51A4002A"/>
    <w:rsid w:val="51CB2F31"/>
    <w:rsid w:val="526E157A"/>
    <w:rsid w:val="52BE27AA"/>
    <w:rsid w:val="52F3532C"/>
    <w:rsid w:val="535149D8"/>
    <w:rsid w:val="547A499B"/>
    <w:rsid w:val="54AF2DEA"/>
    <w:rsid w:val="5501798A"/>
    <w:rsid w:val="552F07AD"/>
    <w:rsid w:val="55DC77A0"/>
    <w:rsid w:val="55EA2B4F"/>
    <w:rsid w:val="561C43B8"/>
    <w:rsid w:val="58BD6B93"/>
    <w:rsid w:val="597134BC"/>
    <w:rsid w:val="5A205895"/>
    <w:rsid w:val="5B2477CF"/>
    <w:rsid w:val="5D0D4DCB"/>
    <w:rsid w:val="5D2358C6"/>
    <w:rsid w:val="5D553EF6"/>
    <w:rsid w:val="60932804"/>
    <w:rsid w:val="61D96733"/>
    <w:rsid w:val="61F55764"/>
    <w:rsid w:val="693A2EA6"/>
    <w:rsid w:val="6F5F0FA9"/>
    <w:rsid w:val="709A317E"/>
    <w:rsid w:val="72F95A0F"/>
    <w:rsid w:val="751A03C1"/>
    <w:rsid w:val="76A31AC2"/>
    <w:rsid w:val="78862BB9"/>
    <w:rsid w:val="796A27B8"/>
    <w:rsid w:val="7B3258C7"/>
    <w:rsid w:val="7BBF2E76"/>
    <w:rsid w:val="7CD060AD"/>
    <w:rsid w:val="7EB402EB"/>
    <w:rsid w:val="7F2C6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rPr>
      <w:sz w:val="24"/>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
    <w:name w:val="Light Shading Accent 4"/>
    <w:basedOn w:val="6"/>
    <w:qFormat/>
    <w:uiPriority w:val="60"/>
    <w:rPr>
      <w:color w:val="604A7B" w:themeColor="accent4" w:themeShade="BF"/>
    </w:rPr>
    <w:tblPr>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10">
    <w:name w:val="批注框文本 字符"/>
    <w:basedOn w:val="9"/>
    <w:link w:val="2"/>
    <w:semiHidden/>
    <w:qFormat/>
    <w:uiPriority w:val="99"/>
    <w:rPr>
      <w:sz w:val="18"/>
      <w:szCs w:val="18"/>
    </w:rPr>
  </w:style>
  <w:style w:type="paragraph" w:customStyle="1" w:styleId="11">
    <w:name w:val="列出段落1"/>
    <w:basedOn w:val="1"/>
    <w:unhideWhenUsed/>
    <w:qFormat/>
    <w:uiPriority w:val="34"/>
    <w:pPr>
      <w:ind w:firstLine="420" w:firstLineChars="200"/>
    </w:pPr>
    <w:rPr>
      <w:rFonts w:ascii="Calibri" w:hAnsi="Calibri" w:eastAsia="宋体" w:cs="黑体"/>
    </w:rPr>
  </w:style>
  <w:style w:type="paragraph" w:customStyle="1" w:styleId="12">
    <w:name w:val="fbl_gititl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bl_gitype"/>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fbl_gileg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fbl_gipercent"/>
    <w:basedOn w:val="9"/>
    <w:qFormat/>
    <w:uiPriority w:val="0"/>
  </w:style>
  <w:style w:type="character" w:customStyle="1" w:styleId="16">
    <w:name w:val="fbl_ginumber"/>
    <w:basedOn w:val="9"/>
    <w:qFormat/>
    <w:uiPriority w:val="0"/>
  </w:style>
  <w:style w:type="paragraph" w:customStyle="1" w:styleId="17">
    <w:name w:val="fbl_gipielabe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1" i="0" u="none" strike="noStrike" kern="1200" baseline="0">
                <a:solidFill>
                  <a:schemeClr val="tx1"/>
                </a:solidFill>
                <a:latin typeface="+mn-ea"/>
                <a:ea typeface="+mn-ea"/>
                <a:cs typeface="+mn-cs"/>
              </a:defRPr>
            </a:pPr>
            <a:r>
              <a:rPr lang="en-US" altLang="zh-CN" sz="1000">
                <a:latin typeface="+mn-ea"/>
                <a:ea typeface="+mn-ea"/>
              </a:rPr>
              <a:t>2019CCBD</a:t>
            </a:r>
            <a:r>
              <a:rPr lang="zh-CN" altLang="en-US" sz="1000">
                <a:latin typeface="+mn-ea"/>
                <a:ea typeface="+mn-ea"/>
              </a:rPr>
              <a:t>观众区域分布</a:t>
            </a:r>
            <a:endParaRPr lang="zh-CN" altLang="en-US" sz="1000">
              <a:latin typeface="+mn-ea"/>
              <a:ea typeface="+mn-ea"/>
            </a:endParaRPr>
          </a:p>
        </c:rich>
      </c:tx>
      <c:layout>
        <c:manualLayout>
          <c:xMode val="edge"/>
          <c:yMode val="edge"/>
          <c:x val="0.688243801071574"/>
          <c:y val="0.800918721225421"/>
        </c:manualLayout>
      </c:layout>
      <c:overlay val="0"/>
      <c:spPr>
        <a:noFill/>
        <a:ln>
          <a:noFill/>
        </a:ln>
        <a:effectLst/>
      </c:spPr>
    </c:title>
    <c:autoTitleDeleted val="0"/>
    <c:plotArea>
      <c:layout/>
      <c:pieChart>
        <c:varyColors val="1"/>
        <c:ser>
          <c:idx val="0"/>
          <c:order val="0"/>
          <c:tx>
            <c:strRef>
              <c:f>Sheet1!$B$1</c:f>
              <c:strCache>
                <c:ptCount val="1"/>
                <c:pt idx="0">
                  <c:v>2019CCBD观众·区域分布</c:v>
                </c:pt>
              </c:strCache>
            </c:strRef>
          </c:tx>
          <c:spPr/>
          <c:explosion val="0"/>
          <c:dPt>
            <c:idx val="0"/>
            <c:bubble3D val="0"/>
            <c:spPr>
              <a:solidFill>
                <a:schemeClr val="accent1"/>
              </a:solidFill>
              <a:ln>
                <a:noFill/>
              </a:ln>
              <a:effectLst>
                <a:outerShdw blurRad="40000" dist="23000" dir="5400000" rotWithShape="0">
                  <a:srgbClr val="000000">
                    <a:alpha val="35000"/>
                  </a:srgbClr>
                </a:outerShdw>
              </a:effectLst>
            </c:spPr>
          </c:dPt>
          <c:dPt>
            <c:idx val="1"/>
            <c:bubble3D val="0"/>
            <c:spPr>
              <a:solidFill>
                <a:schemeClr val="accent2"/>
              </a:solidFill>
              <a:ln>
                <a:noFill/>
              </a:ln>
              <a:effectLst>
                <a:outerShdw blurRad="40000" dist="23000" dir="5400000" rotWithShape="0">
                  <a:srgbClr val="000000">
                    <a:alpha val="35000"/>
                  </a:srgbClr>
                </a:outerShdw>
              </a:effectLst>
            </c:spPr>
          </c:dPt>
          <c:dPt>
            <c:idx val="2"/>
            <c:bubble3D val="0"/>
            <c:spPr>
              <a:solidFill>
                <a:schemeClr val="accent3"/>
              </a:solidFill>
              <a:ln>
                <a:noFill/>
              </a:ln>
              <a:effectLst>
                <a:outerShdw blurRad="40000" dist="23000" dir="5400000" rotWithShape="0">
                  <a:srgbClr val="000000">
                    <a:alpha val="35000"/>
                  </a:srgbClr>
                </a:outerShdw>
              </a:effectLst>
            </c:spPr>
          </c:dPt>
          <c:dPt>
            <c:idx val="3"/>
            <c:bubble3D val="0"/>
            <c:spPr>
              <a:solidFill>
                <a:schemeClr val="accent4"/>
              </a:solidFill>
              <a:ln>
                <a:noFill/>
              </a:ln>
              <a:effectLst>
                <a:outerShdw blurRad="40000" dist="23000" dir="5400000" rotWithShape="0">
                  <a:srgbClr val="000000">
                    <a:alpha val="35000"/>
                  </a:srgbClr>
                </a:outerShdw>
              </a:effectLst>
            </c:spPr>
          </c:dPt>
          <c:dPt>
            <c:idx val="4"/>
            <c:bubble3D val="0"/>
            <c:spPr>
              <a:solidFill>
                <a:schemeClr val="accent5"/>
              </a:solidFill>
              <a:ln>
                <a:noFill/>
              </a:ln>
              <a:effectLst>
                <a:outerShdw blurRad="40000" dist="23000" dir="5400000" rotWithShape="0">
                  <a:srgbClr val="000000">
                    <a:alpha val="35000"/>
                  </a:srgbClr>
                </a:outerShdw>
              </a:effectLst>
            </c:spPr>
          </c:dPt>
          <c:dPt>
            <c:idx val="5"/>
            <c:bubble3D val="0"/>
            <c:spPr>
              <a:solidFill>
                <a:schemeClr val="accent6"/>
              </a:solidFill>
              <a:ln>
                <a:noFill/>
              </a:ln>
              <a:effectLst>
                <a:outerShdw blurRad="40000" dist="23000" dir="5400000" rotWithShape="0">
                  <a:srgbClr val="000000">
                    <a:alpha val="35000"/>
                  </a:srgbClr>
                </a:outerShdw>
              </a:effectLst>
            </c:spPr>
          </c:dPt>
          <c:dPt>
            <c:idx val="6"/>
            <c:bubble3D val="0"/>
            <c:spPr>
              <a:solidFill>
                <a:schemeClr val="accent1">
                  <a:lumMod val="60000"/>
                </a:schemeClr>
              </a:solidFill>
              <a:ln>
                <a:noFill/>
              </a:ln>
              <a:effectLst>
                <a:outerShdw blurRad="40000" dist="23000" dir="5400000" rotWithShape="0">
                  <a:srgbClr val="000000">
                    <a:alpha val="35000"/>
                  </a:srgbClr>
                </a:outerShdw>
              </a:effectLst>
            </c:spPr>
          </c:dPt>
          <c:dLbls>
            <c:dLbl>
              <c:idx val="0"/>
              <c:layout>
                <c:manualLayout>
                  <c:x val="-0.107396500952711"/>
                  <c:y val="-0.14888337468982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26287339082615"/>
                  <c:y val="0.0426855456815127"/>
                </c:manualLayout>
              </c:layout>
              <c:numFmt formatCode="General" sourceLinked="1"/>
              <c:spPr>
                <a:solidFill>
                  <a:sysClr val="window" lastClr="FFFFFF"/>
                </a:solidFill>
                <a:ln w="9525" cap="flat" cmpd="sng" algn="ctr">
                  <a:solidFill>
                    <a:sysClr val="windowText" lastClr="000000">
                      <a:lumMod val="65000"/>
                      <a:lumOff val="35000"/>
                    </a:sysClr>
                  </a:solidFill>
                  <a:prstDash val="solid"/>
                  <a:round/>
                  <a:headEnd type="none" w="med" len="med"/>
                  <a:tailEnd type="none" w="med" len="med"/>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spPr xmlns:c15="http://schemas.microsoft.com/office/drawing/2012/chart">
                    <a:prstGeom prst="wedgeRectCallout">
                      <a:avLst>
                        <a:gd name="adj1" fmla="val 114722"/>
                        <a:gd name="adj2" fmla="val -30557"/>
                      </a:avLst>
                    </a:prstGeom>
                    <a:noFill/>
                    <a:ln>
                      <a:noFill/>
                    </a:ln>
                  </c15:spPr>
                  <c15:layout/>
                </c:ext>
              </c:extLst>
            </c:dLbl>
            <c:dLbl>
              <c:idx val="2"/>
              <c:layout>
                <c:manualLayout>
                  <c:x val="-0.0727524683873203"/>
                  <c:y val="0.049627791563275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692880651307812"/>
                  <c:y val="-0.005514199062586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55430452104625"/>
                  <c:y val="-0.011028398125172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244338498685371"/>
                  <c:y val="0.0310902448587368"/>
                </c:manualLayout>
              </c:layout>
              <c:numFmt formatCode="General" sourceLinked="1"/>
              <c:spPr>
                <a:solidFill>
                  <a:sysClr val="window" lastClr="FFFFFF"/>
                </a:solidFill>
                <a:ln>
                  <a:solidFill>
                    <a:sysClr val="windowText" lastClr="000000">
                      <a:lumMod val="65000"/>
                      <a:lumOff val="35000"/>
                    </a:sysClr>
                  </a:solidFill>
                </a:ln>
                <a:effectLst/>
              </c:spPr>
              <c:txPr>
                <a:bodyPr rot="0" spcFirstLastPara="1" vertOverflow="ellipsis" vert="horz" wrap="square" lIns="38100" tIns="19050" rIns="38100" bIns="19050" anchor="ctr" anchorCtr="1">
                  <a:noAutofit/>
                </a:bodyPr>
                <a:lstStyle/>
                <a:p>
                  <a:pPr>
                    <a:defRPr lang="zh-CN" sz="800" b="0" i="0" u="none" strike="noStrike" kern="1200" baseline="0">
                      <a:solidFill>
                        <a:schemeClr val="dk1"/>
                      </a:solidFill>
                      <a:latin typeface="+mn-lt"/>
                      <a:ea typeface="+mn-ea"/>
                      <a:cs typeface="+mn-cs"/>
                    </a:defRPr>
                  </a:pPr>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94661561800188"/>
                      <c:h val="0.138120919558422"/>
                    </c:manualLayout>
                  </c15:layout>
                </c:ext>
              </c:extLst>
            </c:dLbl>
            <c:spPr>
              <a:solidFill>
                <a:sysClr val="window" lastClr="FFFFFF"/>
              </a:solidFill>
              <a:ln>
                <a:solidFill>
                  <a:sysClr val="windowText" lastClr="000000">
                    <a:lumMod val="65000"/>
                    <a:lumOff val="35000"/>
                  </a:sysClr>
                </a:solidFill>
              </a:ln>
              <a:effectLst/>
            </c:spPr>
            <c:txPr>
              <a:bodyPr rot="0" spcFirstLastPara="1" vertOverflow="ellipsis" vert="horz" wrap="square" lIns="38100" tIns="19050" rIns="38100" bIns="19050" anchor="ctr" anchorCtr="1">
                <a:spAutoFit/>
              </a:bodyPr>
              <a:lstStyle/>
              <a:p>
                <a:pPr>
                  <a:defRPr lang="zh-CN" sz="800" b="0" i="0" u="none" strike="noStrike" kern="1200" baseline="0">
                    <a:solidFill>
                      <a:schemeClr val="dk1"/>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shade val="95000"/>
                          <a:satMod val="105000"/>
                        </a:schemeClr>
                      </a:solidFill>
                      <a:prstDash val="solid"/>
                      <a:round/>
                    </a:ln>
                    <a:effectLst/>
                  </c:spPr>
                </c15:leaderLines>
              </c:ext>
            </c:extLst>
          </c:dLbls>
          <c:cat>
            <c:strRef>
              <c:f>Sheet1!$A$2:$A$8</c:f>
              <c:strCache>
                <c:ptCount val="7"/>
                <c:pt idx="0">
                  <c:v>四川</c:v>
                </c:pt>
                <c:pt idx="1">
                  <c:v>重庆</c:v>
                </c:pt>
                <c:pt idx="2">
                  <c:v>贵州</c:v>
                </c:pt>
                <c:pt idx="3">
                  <c:v>云南</c:v>
                </c:pt>
                <c:pt idx="4">
                  <c:v>陕西</c:v>
                </c:pt>
                <c:pt idx="5">
                  <c:v>甘肃</c:v>
                </c:pt>
                <c:pt idx="6">
                  <c:v>其他区域</c:v>
                </c:pt>
              </c:strCache>
            </c:strRef>
          </c:cat>
          <c:val>
            <c:numRef>
              <c:f>Sheet1!$B$2:$B$8</c:f>
              <c:numCache>
                <c:formatCode>0%</c:formatCode>
                <c:ptCount val="7"/>
                <c:pt idx="0">
                  <c:v>0.64</c:v>
                </c:pt>
                <c:pt idx="1">
                  <c:v>0.14</c:v>
                </c:pt>
                <c:pt idx="2">
                  <c:v>0.08</c:v>
                </c:pt>
                <c:pt idx="3">
                  <c:v>0.05</c:v>
                </c:pt>
                <c:pt idx="4">
                  <c:v>0.06</c:v>
                </c:pt>
                <c:pt idx="5">
                  <c:v>0.02</c:v>
                </c:pt>
                <c:pt idx="6">
                  <c:v>0.01</c:v>
                </c:pt>
              </c:numCache>
            </c:numRef>
          </c:val>
        </c:ser>
        <c:dLbls>
          <c:showLegendKey val="0"/>
          <c:showVal val="0"/>
          <c:showCatName val="0"/>
          <c:showSerName val="0"/>
          <c:showPercent val="0"/>
          <c:showBubbleSize val="0"/>
          <c:showLeaderLines val="0"/>
        </c:dLbls>
        <c:firstSliceAng val="0"/>
      </c:pieChart>
      <c:spPr>
        <a:noFill/>
        <a:ln>
          <a:noFill/>
        </a:ln>
        <a:effectLst/>
      </c:spPr>
    </c:plotArea>
    <c:plotVisOnly val="1"/>
    <c:dispBlanksAs val="zero"/>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2019CCBD观众行业属性</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Sheet1!$A$2:$A$14</c:f>
              <c:strCache>
                <c:ptCount val="13"/>
                <c:pt idx="0">
                  <c:v>制造商/厂家</c:v>
                </c:pt>
                <c:pt idx="1">
                  <c:v>代理商</c:v>
                </c:pt>
                <c:pt idx="2">
                  <c:v>零售商</c:v>
                </c:pt>
                <c:pt idx="3">
                  <c:v>分销商/批发商</c:v>
                </c:pt>
                <c:pt idx="4">
                  <c:v>连锁加盟经销商</c:v>
                </c:pt>
                <c:pt idx="5">
                  <c:v>进出口贸易商</c:v>
                </c:pt>
                <c:pt idx="6">
                  <c:v>装饰装修公司</c:v>
                </c:pt>
                <c:pt idx="7">
                  <c:v>建筑工程公司</c:v>
                </c:pt>
                <c:pt idx="8">
                  <c:v>建筑/室内设计</c:v>
                </c:pt>
                <c:pt idx="9">
                  <c:v>房地产开发商</c:v>
                </c:pt>
                <c:pt idx="10">
                  <c:v>市政/园林工程公司</c:v>
                </c:pt>
                <c:pt idx="11">
                  <c:v>政府/媒体/相关协会</c:v>
                </c:pt>
                <c:pt idx="12">
                  <c:v>其他</c:v>
                </c:pt>
              </c:strCache>
            </c:strRef>
          </c:cat>
          <c:val>
            <c:numRef>
              <c:f>Sheet1!$B$2:$B$14</c:f>
              <c:numCache>
                <c:formatCode>0.00%</c:formatCode>
                <c:ptCount val="13"/>
                <c:pt idx="0">
                  <c:v>0.2906</c:v>
                </c:pt>
                <c:pt idx="1">
                  <c:v>0.2109</c:v>
                </c:pt>
                <c:pt idx="2">
                  <c:v>0.121</c:v>
                </c:pt>
                <c:pt idx="3">
                  <c:v>0.0789</c:v>
                </c:pt>
                <c:pt idx="4">
                  <c:v>0.028</c:v>
                </c:pt>
                <c:pt idx="5">
                  <c:v>0.0132</c:v>
                </c:pt>
                <c:pt idx="6">
                  <c:v>0.1094</c:v>
                </c:pt>
                <c:pt idx="7">
                  <c:v>0.045</c:v>
                </c:pt>
                <c:pt idx="8">
                  <c:v>0.0429</c:v>
                </c:pt>
                <c:pt idx="9">
                  <c:v>0.023</c:v>
                </c:pt>
                <c:pt idx="10">
                  <c:v>0.0098</c:v>
                </c:pt>
                <c:pt idx="11">
                  <c:v>0.011</c:v>
                </c:pt>
                <c:pt idx="12">
                  <c:v>0.0163</c:v>
                </c:pt>
              </c:numCache>
            </c:numRef>
          </c:val>
        </c:ser>
        <c:dLbls>
          <c:showLegendKey val="0"/>
          <c:showVal val="0"/>
          <c:showCatName val="0"/>
          <c:showSerName val="0"/>
          <c:showPercent val="0"/>
          <c:showBubbleSize val="0"/>
        </c:dLbls>
        <c:gapWidth val="219"/>
        <c:overlap val="-27"/>
        <c:axId val="193540735"/>
        <c:axId val="2064711375"/>
      </c:barChart>
      <c:catAx>
        <c:axId val="193540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064711375"/>
        <c:crosses val="autoZero"/>
        <c:auto val="1"/>
        <c:lblAlgn val="ctr"/>
        <c:lblOffset val="100"/>
        <c:noMultiLvlLbl val="0"/>
      </c:catAx>
      <c:valAx>
        <c:axId val="2064711375"/>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35407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200" b="0" i="0" u="none" strike="noStrike" kern="1200" spc="0" baseline="0">
                <a:solidFill>
                  <a:schemeClr val="tx1">
                    <a:lumMod val="65000"/>
                    <a:lumOff val="35000"/>
                  </a:schemeClr>
                </a:solidFill>
                <a:latin typeface="+mn-lt"/>
                <a:ea typeface="+mn-ea"/>
                <a:cs typeface="+mn-cs"/>
              </a:defRPr>
            </a:pPr>
            <a:r>
              <a:rPr lang="en-US" altLang="zh-CN" sz="1200"/>
              <a:t>2019·CCBD—</a:t>
            </a:r>
            <a:r>
              <a:rPr lang="zh-CN" altLang="en-US" sz="1200"/>
              <a:t>展商区域分布</a:t>
            </a:r>
            <a:endParaRPr lang="zh-CN" altLang="en-US" sz="1200"/>
          </a:p>
        </c:rich>
      </c:tx>
      <c:layout/>
      <c:overlay val="0"/>
      <c:spPr>
        <a:noFill/>
        <a:ln>
          <a:noFill/>
        </a:ln>
        <a:effectLst/>
      </c:spPr>
    </c:title>
    <c:autoTitleDeleted val="0"/>
    <c:plotArea>
      <c:layout/>
      <c:pieChart>
        <c:varyColors val="1"/>
        <c:ser>
          <c:idx val="0"/>
          <c:order val="0"/>
          <c:tx>
            <c:strRef>
              <c:f>Sheet1!$B$1</c:f>
              <c:strCache>
                <c:ptCount val="1"/>
                <c:pt idx="0">
                  <c:v>2018·CCBD展商区域分布</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51136290890468"/>
                  <c:y val="-0.03349595586266"/>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0.0288739517316433"/>
                  <c:y val="0.10909850554395"/>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省外</c:v>
                </c:pt>
                <c:pt idx="1">
                  <c:v>省内</c:v>
                </c:pt>
                <c:pt idx="2">
                  <c:v>国外</c:v>
                </c:pt>
              </c:strCache>
            </c:strRef>
          </c:cat>
          <c:val>
            <c:numRef>
              <c:f>Sheet1!$B$2:$B$4</c:f>
              <c:numCache>
                <c:formatCode>0%</c:formatCode>
                <c:ptCount val="3"/>
                <c:pt idx="0">
                  <c:v>0.65</c:v>
                </c:pt>
                <c:pt idx="1">
                  <c:v>0.33</c:v>
                </c:pt>
                <c:pt idx="2">
                  <c:v>0.015</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C0F5CC-D1D6-48FC-B3EF-74C36BF2BBE6}">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808</Words>
  <Characters>4611</Characters>
  <Lines>38</Lines>
  <Paragraphs>10</Paragraphs>
  <TotalTime>0</TotalTime>
  <ScaleCrop>false</ScaleCrop>
  <LinksUpToDate>false</LinksUpToDate>
  <CharactersWithSpaces>5409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2019-04-30T09:21:00Z</dcterms:created>
  <dc:creator>Zhang, Linyao</dc:creator>
  <cp:lastModifiedBy>米晓花</cp:lastModifiedBy>
  <dcterms:modified xsi:type="dcterms:W3CDTF">2020-05-13T03:20:46Z</dcterms:modified>
  <cp:revision>151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MSIP_Label_181c070e-054b-4d1c-ba4c-fc70b099192e_Enabled">
    <vt:lpwstr>True</vt:lpwstr>
  </property>
  <property fmtid="{D5CDD505-2E9C-101B-9397-08002B2CF9AE}" pid="4" name="MSIP_Label_181c070e-054b-4d1c-ba4c-fc70b099192e_SiteId">
    <vt:lpwstr>2567d566-604c-408a-8a60-55d0dc9d9d6b</vt:lpwstr>
  </property>
  <property fmtid="{D5CDD505-2E9C-101B-9397-08002B2CF9AE}" pid="5" name="MSIP_Label_181c070e-054b-4d1c-ba4c-fc70b099192e_Owner">
    <vt:lpwstr>Shiyang.Zhao@informa.com</vt:lpwstr>
  </property>
  <property fmtid="{D5CDD505-2E9C-101B-9397-08002B2CF9AE}" pid="6" name="MSIP_Label_181c070e-054b-4d1c-ba4c-fc70b099192e_SetDate">
    <vt:lpwstr>2019-04-30T09:19:46.7600948Z</vt:lpwstr>
  </property>
  <property fmtid="{D5CDD505-2E9C-101B-9397-08002B2CF9AE}" pid="7" name="MSIP_Label_181c070e-054b-4d1c-ba4c-fc70b099192e_Name">
    <vt:lpwstr>General</vt:lpwstr>
  </property>
  <property fmtid="{D5CDD505-2E9C-101B-9397-08002B2CF9AE}" pid="8" name="MSIP_Label_181c070e-054b-4d1c-ba4c-fc70b099192e_Application">
    <vt:lpwstr>Microsoft Azure Information Protection</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Shiyang.Zhao@informa.com</vt:lpwstr>
  </property>
  <property fmtid="{D5CDD505-2E9C-101B-9397-08002B2CF9AE}" pid="13" name="MSIP_Label_2bbab825-a111-45e4-86a1-18cee0005896_SetDate">
    <vt:lpwstr>2019-04-30T09:19:46.7600948Z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Parent">
    <vt:lpwstr>181c070e-054b-4d1c-ba4c-fc70b099192e</vt:lpwstr>
  </property>
  <property fmtid="{D5CDD505-2E9C-101B-9397-08002B2CF9AE}" pid="17" name="MSIP_Label_2bbab825-a111-45e4-86a1-18cee0005896_Extended_MSFT_Method">
    <vt:lpwstr>Automatic</vt:lpwstr>
  </property>
  <property fmtid="{D5CDD505-2E9C-101B-9397-08002B2CF9AE}" pid="18" name="Sensitivity">
    <vt:lpwstr>General Un-restricted</vt:lpwstr>
  </property>
</Properties>
</file>