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Lines="50" w:line="440" w:lineRule="exact"/>
        <w:jc w:val="left"/>
        <w:rPr>
          <w:rFonts w:hint="eastAsia" w:ascii="微软雅黑" w:hAnsi="微软雅黑" w:eastAsia="微软雅黑" w:cs="微软雅黑"/>
          <w:b/>
          <w:color w:val="FF0000"/>
          <w:sz w:val="36"/>
          <w:szCs w:val="36"/>
          <w:lang w:val="en-US" w:eastAsia="zh-CN"/>
        </w:rPr>
      </w:pPr>
    </w:p>
    <w:p>
      <w:pPr>
        <w:widowControl/>
        <w:spacing w:beforeLines="50" w:line="440" w:lineRule="exact"/>
        <w:jc w:val="left"/>
        <w:rPr>
          <w:rFonts w:hint="default" w:ascii="微软雅黑" w:hAnsi="微软雅黑" w:eastAsia="微软雅黑" w:cs="微软雅黑"/>
          <w:b/>
          <w:color w:val="FF0000"/>
          <w:sz w:val="36"/>
          <w:szCs w:val="36"/>
          <w:lang w:val="en-US"/>
        </w:rPr>
      </w:pPr>
      <w:r>
        <w:rPr>
          <w:rFonts w:hint="eastAsia" w:ascii="微软雅黑" w:hAnsi="微软雅黑" w:eastAsia="微软雅黑" w:cs="微软雅黑"/>
          <w:b/>
          <w:color w:val="FF0000"/>
          <w:sz w:val="36"/>
          <w:szCs w:val="36"/>
          <w:lang w:val="en-US" w:eastAsia="zh-CN"/>
        </w:rPr>
        <w:t>2020年乌兹别克斯坦</w:t>
      </w:r>
      <w:r>
        <w:rPr>
          <w:rFonts w:hint="eastAsia" w:ascii="微软雅黑" w:hAnsi="微软雅黑" w:eastAsia="微软雅黑" w:cs="微软雅黑"/>
          <w:b/>
          <w:color w:val="FF0000"/>
          <w:sz w:val="36"/>
          <w:szCs w:val="36"/>
        </w:rPr>
        <w:t>国际</w:t>
      </w:r>
      <w:r>
        <w:rPr>
          <w:rFonts w:hint="eastAsia" w:ascii="微软雅黑" w:hAnsi="微软雅黑" w:eastAsia="微软雅黑" w:cs="微软雅黑"/>
          <w:b/>
          <w:color w:val="FF0000"/>
          <w:sz w:val="36"/>
          <w:szCs w:val="36"/>
          <w:lang w:val="en-US" w:eastAsia="zh-CN"/>
        </w:rPr>
        <w:t>建筑机械、工程机械、矿山机械展</w:t>
      </w:r>
    </w:p>
    <w:p>
      <w:pPr>
        <w:widowControl/>
        <w:spacing w:line="440" w:lineRule="exact"/>
        <w:jc w:val="left"/>
        <w:rPr>
          <w:rFonts w:hint="eastAsia" w:ascii="微软雅黑" w:hAnsi="微软雅黑" w:eastAsia="微软雅黑" w:cs="微软雅黑"/>
          <w:b/>
          <w:sz w:val="24"/>
          <w:szCs w:val="24"/>
        </w:rPr>
      </w:pPr>
    </w:p>
    <w:p>
      <w:pPr>
        <w:widowControl/>
        <w:spacing w:line="440" w:lineRule="exact"/>
        <w:jc w:val="left"/>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展会英文名称：UZMINGEXPO</w:t>
      </w:r>
    </w:p>
    <w:p>
      <w:pPr>
        <w:widowControl/>
        <w:spacing w:line="440" w:lineRule="exact"/>
        <w:jc w:val="left"/>
        <w:rPr>
          <w:rFonts w:hint="default" w:ascii="微软雅黑" w:hAnsi="微软雅黑" w:eastAsia="微软雅黑" w:cs="微软雅黑"/>
          <w:b/>
          <w:sz w:val="24"/>
          <w:szCs w:val="24"/>
          <w:lang w:val="en-US" w:eastAsia="zh-CN"/>
        </w:rPr>
      </w:pPr>
      <w:r>
        <w:rPr>
          <w:rFonts w:hint="eastAsia" w:ascii="微软雅黑" w:hAnsi="微软雅黑" w:eastAsia="微软雅黑" w:cs="微软雅黑"/>
          <w:b/>
          <w:sz w:val="24"/>
          <w:szCs w:val="24"/>
        </w:rPr>
        <w:t>展会时间：20</w:t>
      </w:r>
      <w:r>
        <w:rPr>
          <w:rFonts w:hint="eastAsia" w:ascii="微软雅黑" w:hAnsi="微软雅黑" w:eastAsia="微软雅黑" w:cs="微软雅黑"/>
          <w:b/>
          <w:sz w:val="24"/>
          <w:szCs w:val="24"/>
          <w:lang w:val="en-US" w:eastAsia="zh-CN"/>
        </w:rPr>
        <w:t>20</w:t>
      </w:r>
      <w:r>
        <w:rPr>
          <w:rFonts w:hint="eastAsia" w:ascii="微软雅黑" w:hAnsi="微软雅黑" w:eastAsia="微软雅黑" w:cs="微软雅黑"/>
          <w:b/>
          <w:sz w:val="24"/>
          <w:szCs w:val="24"/>
        </w:rPr>
        <w:t>年</w:t>
      </w:r>
      <w:r>
        <w:rPr>
          <w:rFonts w:hint="eastAsia" w:ascii="微软雅黑" w:hAnsi="微软雅黑" w:eastAsia="微软雅黑" w:cs="微软雅黑"/>
          <w:b/>
          <w:sz w:val="24"/>
          <w:szCs w:val="24"/>
          <w:lang w:val="en-US" w:eastAsia="zh-CN"/>
        </w:rPr>
        <w:t>3月24-26 号</w:t>
      </w:r>
    </w:p>
    <w:p>
      <w:pPr>
        <w:widowControl/>
        <w:spacing w:line="440" w:lineRule="exact"/>
        <w:jc w:val="left"/>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rPr>
        <w:t>展会地点：</w:t>
      </w:r>
      <w:r>
        <w:rPr>
          <w:rFonts w:hint="eastAsia" w:ascii="微软雅黑" w:hAnsi="微软雅黑" w:eastAsia="微软雅黑" w:cs="微软雅黑"/>
          <w:b/>
          <w:sz w:val="24"/>
          <w:szCs w:val="24"/>
          <w:lang w:val="en-US" w:eastAsia="zh-CN"/>
        </w:rPr>
        <w:t>塔什干</w:t>
      </w:r>
    </w:p>
    <w:p>
      <w:pPr>
        <w:snapToGrid w:val="0"/>
        <w:spacing w:line="440" w:lineRule="exact"/>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举办周期：每年一届</w:t>
      </w:r>
    </w:p>
    <w:p>
      <w:pPr>
        <w:widowControl/>
        <w:spacing w:line="440" w:lineRule="exact"/>
        <w:jc w:val="left"/>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主办单位：IEG Uzbekistan</w:t>
      </w:r>
    </w:p>
    <w:p>
      <w:pPr>
        <w:rPr>
          <w:rFonts w:hint="eastAsia" w:ascii="微软雅黑" w:hAnsi="微软雅黑" w:eastAsia="微软雅黑" w:cs="微软雅黑"/>
          <w:b/>
          <w:bCs/>
          <w:color w:val="F85208"/>
          <w:kern w:val="0"/>
          <w:sz w:val="24"/>
          <w:szCs w:val="24"/>
          <w:lang w:val="en-US" w:eastAsia="zh-CN"/>
        </w:rPr>
      </w:pPr>
      <w:r>
        <w:rPr>
          <w:rFonts w:hint="eastAsia" w:ascii="微软雅黑" w:hAnsi="微软雅黑" w:eastAsia="微软雅黑" w:cs="微软雅黑"/>
          <w:color w:val="F7860C"/>
          <w:kern w:val="0"/>
          <w:sz w:val="24"/>
          <w:szCs w:val="24"/>
          <w:lang w:val="en-US" w:eastAsia="zh-CN"/>
        </w:rPr>
        <w:drawing>
          <wp:anchor distT="0" distB="0" distL="114300" distR="114300" simplePos="0" relativeHeight="251658240" behindDoc="0" locked="0" layoutInCell="1" allowOverlap="1">
            <wp:simplePos x="0" y="0"/>
            <wp:positionH relativeFrom="column">
              <wp:posOffset>3019425</wp:posOffset>
            </wp:positionH>
            <wp:positionV relativeFrom="paragraph">
              <wp:posOffset>635</wp:posOffset>
            </wp:positionV>
            <wp:extent cx="426720" cy="423545"/>
            <wp:effectExtent l="0" t="0" r="11430" b="14605"/>
            <wp:wrapSquare wrapText="bothSides"/>
            <wp:docPr id="6" name="图片 6" descr="单独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单独logo"/>
                    <pic:cNvPicPr>
                      <a:picLocks noChangeAspect="1"/>
                    </pic:cNvPicPr>
                  </pic:nvPicPr>
                  <pic:blipFill>
                    <a:blip r:embed="rId6"/>
                    <a:stretch>
                      <a:fillRect/>
                    </a:stretch>
                  </pic:blipFill>
                  <pic:spPr>
                    <a:xfrm>
                      <a:off x="0" y="0"/>
                      <a:ext cx="426720" cy="423545"/>
                    </a:xfrm>
                    <a:prstGeom prst="rect">
                      <a:avLst/>
                    </a:prstGeom>
                  </pic:spPr>
                </pic:pic>
              </a:graphicData>
            </a:graphic>
          </wp:anchor>
        </w:drawing>
      </w:r>
      <w:r>
        <w:rPr>
          <w:rFonts w:hint="eastAsia" w:ascii="微软雅黑" w:hAnsi="微软雅黑" w:eastAsia="微软雅黑" w:cs="微软雅黑"/>
          <w:b/>
          <w:bCs/>
          <w:color w:val="F7860C"/>
          <w:kern w:val="0"/>
          <w:sz w:val="24"/>
          <w:szCs w:val="24"/>
        </w:rPr>
        <w:t>中国代理：北京宏联中企商务会展有限公司</w:t>
      </w:r>
      <w:r>
        <w:rPr>
          <w:rFonts w:hint="eastAsia" w:ascii="微软雅黑" w:hAnsi="微软雅黑" w:eastAsia="微软雅黑" w:cs="微软雅黑"/>
          <w:b/>
          <w:bCs/>
          <w:color w:val="F85208"/>
          <w:kern w:val="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tLeast"/>
        <w:textAlignment w:val="auto"/>
        <w:outlineLvl w:val="9"/>
        <w:rPr>
          <w:rFonts w:hint="eastAsia" w:ascii="微软雅黑" w:hAnsi="微软雅黑" w:eastAsia="微软雅黑" w:cs="微软雅黑"/>
          <w:b/>
          <w:bCs/>
          <w:color w:val="FF0000"/>
          <w:kern w:val="0"/>
          <w:sz w:val="24"/>
          <w:szCs w:val="24"/>
          <w:lang w:val="en-US" w:eastAsia="zh-CN"/>
        </w:rPr>
      </w:pPr>
      <w:r>
        <w:rPr>
          <w:rFonts w:hint="eastAsia" w:ascii="微软雅黑" w:hAnsi="微软雅黑" w:eastAsia="微软雅黑" w:cs="微软雅黑"/>
          <w:b/>
          <w:bCs/>
          <w:color w:val="FF0000"/>
          <w:kern w:val="0"/>
          <w:sz w:val="24"/>
          <w:szCs w:val="24"/>
          <w:lang w:val="en-US" w:eastAsia="zh-CN"/>
        </w:rPr>
        <w:t>展会介绍</w:t>
      </w:r>
    </w:p>
    <w:p>
      <w:pPr>
        <w:widowControl/>
        <w:spacing w:before="120" w:line="0" w:lineRule="atLeast"/>
        <w:jc w:val="left"/>
        <w:rPr>
          <w:rFonts w:hint="eastAsia" w:ascii="微软雅黑" w:hAnsi="微软雅黑" w:eastAsia="微软雅黑" w:cs="微软雅黑"/>
          <w:sz w:val="24"/>
          <w:szCs w:val="24"/>
          <w:lang w:val="en-US" w:eastAsia="zh-CN"/>
        </w:rPr>
      </w:pPr>
      <w:bookmarkStart w:id="0" w:name="OLE_LINK3"/>
      <w:bookmarkStart w:id="1" w:name="OLE_LINK2"/>
      <w:r>
        <w:rPr>
          <w:rFonts w:hint="eastAsia" w:ascii="微软雅黑" w:hAnsi="微软雅黑" w:eastAsia="微软雅黑" w:cs="微软雅黑"/>
          <w:sz w:val="24"/>
          <w:szCs w:val="24"/>
          <w:lang w:val="en-US" w:eastAsia="zh-CN"/>
        </w:rPr>
        <w:t>乌兹别克斯坦国际矿业、建筑机械及工程机械展由当地知名展览集团TEG主办，得到了乌兹别克斯坦地质和矿产资源委员会的支持，是乌境内最专业的工矿展会。</w:t>
      </w:r>
    </w:p>
    <w:p>
      <w:pPr>
        <w:widowControl/>
        <w:spacing w:before="120" w:line="0" w:lineRule="atLeast"/>
        <w:jc w:val="left"/>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FF0000"/>
          <w:sz w:val="24"/>
          <w:szCs w:val="24"/>
        </w:rPr>
        <w:t>上届数据</w:t>
      </w:r>
    </w:p>
    <w:p>
      <w:pPr>
        <w:widowControl/>
        <w:spacing w:before="120" w:line="0" w:lineRule="atLeas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展商数量：</w:t>
      </w: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rPr>
        <w:t>00多家企业参展</w:t>
      </w:r>
      <w:bookmarkStart w:id="2" w:name="_GoBack"/>
      <w:bookmarkEnd w:id="2"/>
    </w:p>
    <w:p>
      <w:pPr>
        <w:widowControl/>
        <w:spacing w:before="120" w:line="0" w:lineRule="atLeas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观众数量：</w:t>
      </w:r>
      <w:r>
        <w:rPr>
          <w:rFonts w:hint="eastAsia" w:ascii="微软雅黑" w:hAnsi="微软雅黑" w:eastAsia="微软雅黑" w:cs="微软雅黑"/>
          <w:sz w:val="24"/>
          <w:szCs w:val="24"/>
          <w:lang w:val="en-US" w:eastAsia="zh-CN"/>
        </w:rPr>
        <w:t>10</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000多</w:t>
      </w:r>
      <w:r>
        <w:rPr>
          <w:rFonts w:hint="eastAsia" w:ascii="微软雅黑" w:hAnsi="微软雅黑" w:eastAsia="微软雅黑" w:cs="微软雅黑"/>
          <w:sz w:val="24"/>
          <w:szCs w:val="24"/>
        </w:rPr>
        <w:t>名</w:t>
      </w:r>
    </w:p>
    <w:p>
      <w:pPr>
        <w:widowControl/>
        <w:spacing w:before="120" w:line="0" w:lineRule="atLeast"/>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drawing>
          <wp:inline distT="0" distB="0" distL="114300" distR="114300">
            <wp:extent cx="6080760" cy="3680460"/>
            <wp:effectExtent l="0" t="0" r="0" b="7620"/>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7"/>
                    <a:stretch>
                      <a:fillRect/>
                    </a:stretch>
                  </pic:blipFill>
                  <pic:spPr>
                    <a:xfrm>
                      <a:off x="0" y="0"/>
                      <a:ext cx="6080760" cy="3680460"/>
                    </a:xfrm>
                    <a:prstGeom prst="rect">
                      <a:avLst/>
                    </a:prstGeom>
                  </pic:spPr>
                </pic:pic>
              </a:graphicData>
            </a:graphic>
          </wp:inline>
        </w:drawing>
      </w:r>
    </w:p>
    <w:p>
      <w:pPr>
        <w:widowControl/>
        <w:spacing w:before="120" w:line="0" w:lineRule="atLeast"/>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FF0000"/>
          <w:kern w:val="0"/>
          <w:sz w:val="24"/>
          <w:szCs w:val="24"/>
          <w:lang w:val="en-US" w:eastAsia="zh-CN"/>
        </w:rPr>
        <w:t>市场前景</w:t>
      </w:r>
    </w:p>
    <w:p>
      <w:pPr>
        <w:widowControl/>
        <w:spacing w:before="120" w:line="0" w:lineRule="atLeas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乌兹别克斯坦是中亚中部的内陆国家，濒临咸海，与哈萨克斯坦、塔吉克斯坦、吉尔吉斯斯坦、土库曼斯坦和阿富汗毗邻，是“一带一路”上重要的国家。乌兹别克斯坦自然资源丰富，是独联体中经济实力较强的国家，经济实力次于俄罗斯，乌克兰，哈萨克斯坦，但经济结构单一，加工工业较为落后，采矿业发达，矿产资源丰富，矿产资源储量总价值约3.5万亿美元。</w:t>
      </w:r>
    </w:p>
    <w:p>
      <w:pPr>
        <w:widowControl/>
        <w:spacing w:before="120" w:line="0" w:lineRule="atLeas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塔什干是乌兹别克斯坦首都和塔什干州首府，也是中亚地区第一大城市，位于乌东北部，市区面积260平方公里，人口约230万，是中亚地区人口最多的城市。塔什干是乌政治、经济、文化和交通中心，按城市规模来说，是独联体内仅次于莫斯科、圣彼得堡和基辅的第四大城市。</w:t>
      </w:r>
    </w:p>
    <w:p>
      <w:pPr>
        <w:widowControl/>
        <w:spacing w:before="120" w:line="0" w:lineRule="atLeast"/>
        <w:jc w:val="left"/>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展品范围</w:t>
      </w:r>
    </w:p>
    <w:p>
      <w:pPr>
        <w:widowControl/>
        <w:spacing w:before="120" w:line="0" w:lineRule="atLeast"/>
        <w:jc w:val="left"/>
        <w:rPr>
          <w:rFonts w:hint="eastAsia" w:ascii="微软雅黑" w:hAnsi="微软雅黑" w:eastAsia="微软雅黑" w:cs="微软雅黑"/>
          <w:color w:val="ED7D31" w:themeColor="accent2"/>
          <w:sz w:val="24"/>
          <w:szCs w:val="24"/>
          <w14:textFill>
            <w14:solidFill>
              <w14:schemeClr w14:val="accent2"/>
            </w14:solidFill>
          </w14:textFill>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eastAsia="zh-CN"/>
        </w:rPr>
        <w:t>、</w:t>
      </w:r>
      <w:r>
        <w:rPr>
          <w:rFonts w:hint="eastAsia" w:ascii="微软雅黑" w:hAnsi="微软雅黑" w:eastAsia="微软雅黑" w:cs="微软雅黑"/>
          <w:b/>
          <w:bCs/>
          <w:color w:val="F7860C"/>
          <w:sz w:val="24"/>
          <w:szCs w:val="24"/>
        </w:rPr>
        <w:t xml:space="preserve">建筑建材机械、工程机械 </w:t>
      </w:r>
    </w:p>
    <w:p>
      <w:pPr>
        <w:widowControl/>
        <w:spacing w:before="120" w:line="0" w:lineRule="atLeas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混凝土机械、沥青设备、塔吊及施工升降机、施工电梯、钢筋机械、模板及脚手架、活动房屋、工地照明设备、工地用水泥和砂浆处理设备等</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挖掘机械、铲土运输机械、筑养路机械、压实机械、桩工及地下工程机械、轨道交通设备、起重机械、工业车辆、凿岩机械、桥梁机械、高空作业及其它专用工程机械等</w:t>
      </w:r>
    </w:p>
    <w:p>
      <w:pPr>
        <w:widowControl/>
        <w:spacing w:before="120" w:line="0" w:lineRule="atLeas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eastAsia="zh-CN"/>
        </w:rPr>
        <w:t>、</w:t>
      </w:r>
      <w:r>
        <w:rPr>
          <w:rFonts w:hint="eastAsia" w:ascii="微软雅黑" w:hAnsi="微软雅黑" w:eastAsia="微软雅黑" w:cs="微软雅黑"/>
          <w:b/>
          <w:bCs/>
          <w:color w:val="F7860C"/>
          <w:sz w:val="24"/>
          <w:szCs w:val="24"/>
        </w:rPr>
        <w:t>矿业产品</w:t>
      </w:r>
    </w:p>
    <w:p>
      <w:pPr>
        <w:widowControl/>
        <w:spacing w:before="120" w:line="0" w:lineRule="atLeas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物探、化探、航测遥感、测绘服务、地质数据处理</w:t>
      </w:r>
      <w:r>
        <w:rPr>
          <w:rFonts w:hint="eastAsia" w:ascii="微软雅黑" w:hAnsi="微软雅黑" w:eastAsia="微软雅黑" w:cs="微软雅黑"/>
          <w:sz w:val="24"/>
          <w:szCs w:val="24"/>
          <w:lang w:val="en-US" w:eastAsia="zh-CN"/>
        </w:rPr>
        <w:t>设备</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自动化和信息服务公司、软件开发、数据处理设备、实验室分析仪器</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采掘设备、装载设备、运输设备、提升设备、爆破器材、施工机械</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破碎粉磨设备、矿用筛分设备、洗选设备</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通风设备、除尘设备、防护设备</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铲运机, 运输车（起重机、输送带、地下装载机和卡车，矿井电气火车头）；露天坑口技术；辅助机械和设备（压缩机、柴油发电机、地下燃料加油机、运输设备、岩石粉碎机）；开矿工程工具与设备，硬金属工具，研磨剂，金刚刀具；工艺设备；采矿工程通风；钻探技术和爆破材料；各类泵类等</w:t>
      </w:r>
    </w:p>
    <w:p>
      <w:pPr>
        <w:widowControl/>
        <w:spacing w:before="120" w:line="0" w:lineRule="atLeas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b/>
          <w:bCs/>
          <w:color w:val="F7860C"/>
          <w:sz w:val="24"/>
          <w:szCs w:val="24"/>
        </w:rPr>
        <w:t>专业车辆</w:t>
      </w:r>
    </w:p>
    <w:p>
      <w:pPr>
        <w:widowControl/>
        <w:spacing w:before="120" w:line="0" w:lineRule="atLeast"/>
        <w:jc w:val="left"/>
        <w:rPr>
          <w:rFonts w:hint="eastAsia" w:ascii="微软雅黑" w:hAnsi="微软雅黑" w:eastAsia="微软雅黑" w:cs="微软雅黑"/>
          <w:sz w:val="24"/>
          <w:szCs w:val="24"/>
          <w:lang w:val="en-US" w:eastAsia="zh-CN"/>
        </w:rPr>
      </w:pPr>
      <w:r>
        <w:drawing>
          <wp:anchor distT="0" distB="0" distL="114300" distR="114300" simplePos="0" relativeHeight="251664384" behindDoc="0" locked="0" layoutInCell="1" allowOverlap="1">
            <wp:simplePos x="0" y="0"/>
            <wp:positionH relativeFrom="column">
              <wp:posOffset>2997835</wp:posOffset>
            </wp:positionH>
            <wp:positionV relativeFrom="paragraph">
              <wp:posOffset>1129030</wp:posOffset>
            </wp:positionV>
            <wp:extent cx="2999105" cy="2120900"/>
            <wp:effectExtent l="0" t="0" r="10795" b="12700"/>
            <wp:wrapSquare wrapText="bothSides"/>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8"/>
                    <a:stretch>
                      <a:fillRect/>
                    </a:stretch>
                  </pic:blipFill>
                  <pic:spPr>
                    <a:xfrm>
                      <a:off x="0" y="0"/>
                      <a:ext cx="2999105" cy="2120900"/>
                    </a:xfrm>
                    <a:prstGeom prst="rect">
                      <a:avLst/>
                    </a:prstGeom>
                    <a:noFill/>
                    <a:ln w="9525">
                      <a:noFill/>
                    </a:ln>
                  </pic:spPr>
                </pic:pic>
              </a:graphicData>
            </a:graphic>
          </wp:anchor>
        </w:drawing>
      </w:r>
      <w:r>
        <w:drawing>
          <wp:anchor distT="0" distB="0" distL="114300" distR="114300" simplePos="0" relativeHeight="251665408" behindDoc="0" locked="0" layoutInCell="1" allowOverlap="1">
            <wp:simplePos x="0" y="0"/>
            <wp:positionH relativeFrom="column">
              <wp:posOffset>-38100</wp:posOffset>
            </wp:positionH>
            <wp:positionV relativeFrom="paragraph">
              <wp:posOffset>1136650</wp:posOffset>
            </wp:positionV>
            <wp:extent cx="3027680" cy="2103120"/>
            <wp:effectExtent l="0" t="0" r="1270" b="11430"/>
            <wp:wrapSquare wrapText="bothSides"/>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9"/>
                    <a:stretch>
                      <a:fillRect/>
                    </a:stretch>
                  </pic:blipFill>
                  <pic:spPr>
                    <a:xfrm>
                      <a:off x="0" y="0"/>
                      <a:ext cx="3027680" cy="2103120"/>
                    </a:xfrm>
                    <a:prstGeom prst="rect">
                      <a:avLst/>
                    </a:prstGeom>
                    <a:noFill/>
                    <a:ln w="9525">
                      <a:noFill/>
                    </a:ln>
                  </pic:spPr>
                </pic:pic>
              </a:graphicData>
            </a:graphic>
          </wp:anchor>
        </w:drawing>
      </w:r>
      <w:r>
        <w:rPr>
          <w:rFonts w:hint="eastAsia" w:ascii="微软雅黑" w:hAnsi="微软雅黑" w:eastAsia="微软雅黑" w:cs="微软雅黑"/>
          <w:sz w:val="24"/>
          <w:szCs w:val="24"/>
        </w:rPr>
        <w:t>重卡、中卡、轻微卡、货车、挂车、牵引车</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混凝土搅拌车、输送泵车、自卸车、矿用载重车、厢式汽车、搅拌水泥车、起重举升汽车</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多功能养护车、吸污车、高压清洗车、管道疏通车</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城市环卫车辆</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散装水泥罐车、工程专用车辆、油罐车、电动物流车、冷藏车、邮政车、清障车、消防车及其他改装车辆</w:t>
      </w:r>
      <w:r>
        <w:rPr>
          <w:rFonts w:hint="eastAsia" w:ascii="微软雅黑" w:hAnsi="微软雅黑" w:eastAsia="微软雅黑" w:cs="微软雅黑"/>
          <w:sz w:val="24"/>
          <w:szCs w:val="24"/>
          <w:lang w:val="en-US" w:eastAsia="zh-CN"/>
        </w:rPr>
        <w:t xml:space="preserve">    </w:t>
      </w:r>
    </w:p>
    <w:p>
      <w:pPr>
        <w:widowControl/>
        <w:spacing w:before="120" w:line="0" w:lineRule="atLeast"/>
        <w:jc w:val="left"/>
        <w:rPr>
          <w:rFonts w:hint="eastAsia" w:ascii="微软雅黑" w:hAnsi="微软雅黑" w:eastAsia="微软雅黑" w:cs="微软雅黑"/>
          <w:b/>
          <w:bCs/>
          <w:color w:val="FF0000"/>
          <w:sz w:val="24"/>
          <w:szCs w:val="24"/>
          <w:lang w:val="en-US" w:eastAsia="zh-CN"/>
        </w:rPr>
      </w:pPr>
    </w:p>
    <w:p>
      <w:pPr>
        <w:widowControl/>
        <w:spacing w:before="120" w:line="0" w:lineRule="atLeast"/>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FF0000"/>
          <w:sz w:val="24"/>
          <w:szCs w:val="24"/>
          <w:lang w:val="en-US" w:eastAsia="zh-CN"/>
        </w:rPr>
        <w:t>收费标准</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color w:val="FF0000"/>
          <w:sz w:val="24"/>
          <w:szCs w:val="24"/>
          <w:lang w:val="en-US" w:eastAsia="zh-CN"/>
        </w:rPr>
        <w:t>(不参展企业可以随团考察，只收取人员费用)</w:t>
      </w:r>
    </w:p>
    <w:bookmarkEnd w:id="0"/>
    <w:bookmarkEnd w:id="1"/>
    <w:p>
      <w:pPr>
        <w:widowControl/>
        <w:spacing w:before="120" w:line="0" w:lineRule="atLeast"/>
        <w:jc w:val="left"/>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报名程序</w:t>
      </w:r>
    </w:p>
    <w:p>
      <w:pPr>
        <w:widowControl/>
        <w:spacing w:before="120" w:line="0" w:lineRule="atLeast"/>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b/>
          <w:bCs/>
          <w:sz w:val="24"/>
          <w:szCs w:val="24"/>
          <w:lang w:val="en-US" w:eastAsia="zh-CN"/>
        </w:rPr>
        <w:t>预定展位</w:t>
      </w:r>
      <w:r>
        <w:rPr>
          <w:rFonts w:hint="eastAsia" w:ascii="微软雅黑" w:hAnsi="微软雅黑" w:eastAsia="微软雅黑" w:cs="微软雅黑"/>
          <w:sz w:val="24"/>
          <w:szCs w:val="24"/>
          <w:lang w:val="en-US" w:eastAsia="zh-CN"/>
        </w:rPr>
        <w:t>：参展单位请认真填写“参展申请合同”，盖章后扫描/传真至我司，并于三天内将展位费的50%款项支付我司。因展位有限，将按“参展申请合同”及汇款底单先后顺序确认位置。</w:t>
      </w:r>
    </w:p>
    <w:p>
      <w:pPr>
        <w:widowControl/>
        <w:spacing w:before="120" w:line="0" w:lineRule="atLeast"/>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b/>
          <w:bCs/>
          <w:sz w:val="24"/>
          <w:szCs w:val="24"/>
          <w:lang w:val="en-US" w:eastAsia="zh-CN"/>
        </w:rPr>
        <w:t>尾款支付</w:t>
      </w:r>
      <w:r>
        <w:rPr>
          <w:rFonts w:hint="eastAsia" w:ascii="微软雅黑" w:hAnsi="微软雅黑" w:eastAsia="微软雅黑" w:cs="微软雅黑"/>
          <w:sz w:val="24"/>
          <w:szCs w:val="24"/>
          <w:lang w:val="en-US" w:eastAsia="zh-CN"/>
        </w:rPr>
        <w:t>：我司将按参展商要求预留展位，但保留小幅调整或者根据主办方通知对参展企业的具体展位做出调整的权利。参展企业请于展会开始前三个月支付剩余款项，否则按自行取消参展处理，所支付款项不予退还。</w:t>
      </w:r>
    </w:p>
    <w:p>
      <w:pPr>
        <w:widowControl/>
        <w:spacing w:before="120" w:line="0" w:lineRule="atLeast"/>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b/>
          <w:bCs/>
          <w:sz w:val="24"/>
          <w:szCs w:val="24"/>
          <w:lang w:val="en-US" w:eastAsia="zh-CN"/>
        </w:rPr>
        <w:t>人员随团</w:t>
      </w:r>
      <w:r>
        <w:rPr>
          <w:rFonts w:hint="eastAsia" w:ascii="微软雅黑" w:hAnsi="微软雅黑" w:eastAsia="微软雅黑" w:cs="微软雅黑"/>
          <w:sz w:val="24"/>
          <w:szCs w:val="24"/>
          <w:lang w:val="en-US" w:eastAsia="zh-CN"/>
        </w:rPr>
        <w:t>：出于安全和方便考虑，建议参展人员尽量随团前往。参展或随团考察人员，签证由我司办理，报名企业需按要求准备人员签证材料，我司提供签证材料及面试辅导。请各参展企业勿携带涉嫌侵犯知识产权的展品参展，否则引起的一切责任由企业自行承担。</w:t>
      </w:r>
    </w:p>
    <w:p>
      <w:pPr>
        <w:widowControl/>
        <w:spacing w:before="120" w:line="0" w:lineRule="atLeast"/>
        <w:jc w:val="left"/>
        <w:rPr>
          <w:rFonts w:hint="eastAsia" w:ascii="微软雅黑" w:hAnsi="微软雅黑" w:eastAsia="微软雅黑" w:cs="微软雅黑"/>
          <w:sz w:val="24"/>
          <w:szCs w:val="24"/>
          <w:lang w:val="en-US" w:eastAsia="zh-CN"/>
        </w:rPr>
      </w:pPr>
    </w:p>
    <w:p>
      <w:pPr>
        <w:spacing w:line="360" w:lineRule="auto"/>
        <w:rPr>
          <w:rFonts w:hint="eastAsia" w:ascii="微软雅黑" w:hAnsi="微软雅黑" w:eastAsia="微软雅黑" w:cs="微软雅黑"/>
          <w:b/>
          <w:bCs/>
          <w:color w:val="F85208"/>
          <w:kern w:val="0"/>
          <w:sz w:val="28"/>
          <w:szCs w:val="28"/>
        </w:rPr>
      </w:pPr>
      <w:r>
        <w:rPr>
          <w:rFonts w:hint="eastAsia" w:ascii="微软雅黑" w:hAnsi="微软雅黑" w:eastAsia="微软雅黑" w:cs="微软雅黑"/>
          <w:color w:val="000000"/>
          <w:kern w:val="0"/>
          <w:sz w:val="24"/>
          <w:szCs w:val="24"/>
          <w:lang w:val="zh-CN"/>
        </w:rPr>
        <w:drawing>
          <wp:anchor distT="0" distB="0" distL="114300" distR="114300" simplePos="0" relativeHeight="251663360" behindDoc="0" locked="0" layoutInCell="1" allowOverlap="1">
            <wp:simplePos x="0" y="0"/>
            <wp:positionH relativeFrom="column">
              <wp:posOffset>4417060</wp:posOffset>
            </wp:positionH>
            <wp:positionV relativeFrom="paragraph">
              <wp:posOffset>239395</wp:posOffset>
            </wp:positionV>
            <wp:extent cx="1572895" cy="1572895"/>
            <wp:effectExtent l="0" t="0" r="8255" b="8255"/>
            <wp:wrapSquare wrapText="bothSides"/>
            <wp:docPr id="3" name="图片 3" descr="ee6292fb71d880c5e090c67082f56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e6292fb71d880c5e090c67082f567d"/>
                    <pic:cNvPicPr>
                      <a:picLocks noChangeAspect="1"/>
                    </pic:cNvPicPr>
                  </pic:nvPicPr>
                  <pic:blipFill>
                    <a:blip r:embed="rId10"/>
                    <a:stretch>
                      <a:fillRect/>
                    </a:stretch>
                  </pic:blipFill>
                  <pic:spPr>
                    <a:xfrm>
                      <a:off x="0" y="0"/>
                      <a:ext cx="1572895" cy="1572895"/>
                    </a:xfrm>
                    <a:prstGeom prst="rect">
                      <a:avLst/>
                    </a:prstGeom>
                  </pic:spPr>
                </pic:pic>
              </a:graphicData>
            </a:graphic>
          </wp:anchor>
        </w:drawing>
      </w:r>
      <w:r>
        <w:rPr>
          <w:rFonts w:hint="eastAsia" w:ascii="微软雅黑" w:hAnsi="微软雅黑" w:eastAsia="微软雅黑" w:cs="微软雅黑"/>
          <w:b/>
          <w:bCs/>
          <w:color w:val="F85208"/>
          <w:kern w:val="0"/>
          <w:sz w:val="28"/>
          <w:szCs w:val="28"/>
        </w:rPr>
        <w:t>北京宏联中企商务会展有限公司</w:t>
      </w:r>
    </w:p>
    <w:p>
      <w:pPr>
        <w:spacing w:line="400" w:lineRule="exact"/>
        <w:rPr>
          <w:rFonts w:hint="eastAsia" w:ascii="微软雅黑" w:hAnsi="微软雅黑" w:eastAsia="微软雅黑" w:cs="微软雅黑"/>
          <w:color w:val="000000"/>
          <w:kern w:val="0"/>
          <w:sz w:val="24"/>
          <w:szCs w:val="24"/>
          <w:lang w:val="zh-CN"/>
        </w:rPr>
      </w:pPr>
      <w:r>
        <w:rPr>
          <w:rFonts w:hint="eastAsia" w:ascii="微软雅黑" w:hAnsi="微软雅黑" w:eastAsia="微软雅黑" w:cs="微软雅黑"/>
          <w:color w:val="000000"/>
          <w:kern w:val="0"/>
          <w:sz w:val="24"/>
          <w:szCs w:val="24"/>
          <w:lang w:val="zh-CN"/>
        </w:rPr>
        <w:t xml:space="preserve">地址：北京市顺义区南法信金穗路2号宏远航城广场E座801 </w:t>
      </w:r>
    </w:p>
    <w:p>
      <w:pPr>
        <w:spacing w:line="400" w:lineRule="exact"/>
        <w:rPr>
          <w:rFonts w:hint="eastAsia" w:ascii="微软雅黑" w:hAnsi="微软雅黑" w:eastAsia="微软雅黑" w:cs="微软雅黑"/>
          <w:color w:val="000000"/>
          <w:kern w:val="0"/>
          <w:sz w:val="24"/>
          <w:szCs w:val="24"/>
          <w:lang w:val="en-US" w:eastAsia="zh-CN"/>
        </w:rPr>
      </w:pPr>
      <w:r>
        <w:rPr>
          <w:rFonts w:hint="eastAsia" w:ascii="微软雅黑" w:hAnsi="微软雅黑" w:eastAsia="微软雅黑" w:cs="微软雅黑"/>
          <w:b/>
          <w:bCs/>
          <w:color w:val="000000"/>
          <w:kern w:val="0"/>
          <w:sz w:val="24"/>
          <w:szCs w:val="24"/>
          <w:lang w:val="en-US" w:eastAsia="zh-CN"/>
        </w:rPr>
        <w:t>米娜</w:t>
      </w:r>
      <w:r>
        <w:rPr>
          <w:rFonts w:hint="eastAsia" w:ascii="微软雅黑" w:hAnsi="微软雅黑" w:eastAsia="微软雅黑" w:cs="微软雅黑"/>
          <w:b/>
          <w:bCs/>
          <w:color w:val="000000"/>
          <w:kern w:val="0"/>
          <w:sz w:val="24"/>
          <w:szCs w:val="24"/>
          <w:lang w:val="zh-CN"/>
        </w:rPr>
        <w:t xml:space="preserve">  </w:t>
      </w:r>
      <w:r>
        <w:rPr>
          <w:rFonts w:hint="eastAsia" w:ascii="微软雅黑" w:hAnsi="微软雅黑" w:eastAsia="微软雅黑" w:cs="微软雅黑"/>
          <w:b/>
          <w:bCs/>
          <w:color w:val="000000"/>
          <w:kern w:val="0"/>
          <w:sz w:val="24"/>
          <w:szCs w:val="24"/>
          <w:lang w:val="en-US" w:eastAsia="zh-CN"/>
        </w:rPr>
        <w:t>18210740356/同微信</w:t>
      </w:r>
    </w:p>
    <w:p>
      <w:pPr>
        <w:spacing w:line="400" w:lineRule="exact"/>
        <w:rPr>
          <w:rFonts w:hint="default" w:ascii="微软雅黑" w:hAnsi="微软雅黑" w:eastAsia="微软雅黑" w:cs="微软雅黑"/>
          <w:color w:val="000000"/>
          <w:kern w:val="0"/>
          <w:sz w:val="24"/>
          <w:szCs w:val="24"/>
          <w:lang w:val="en-US" w:eastAsia="zh-CN"/>
        </w:rPr>
      </w:pPr>
      <w:r>
        <w:rPr>
          <w:rFonts w:hint="eastAsia" w:ascii="微软雅黑" w:hAnsi="微软雅黑" w:eastAsia="微软雅黑" w:cs="微软雅黑"/>
          <w:color w:val="000000"/>
          <w:kern w:val="0"/>
          <w:sz w:val="24"/>
          <w:szCs w:val="24"/>
          <w:lang w:val="en-US" w:eastAsia="zh-CN"/>
        </w:rPr>
        <w:t>Tel: 010-53269801</w:t>
      </w:r>
    </w:p>
    <w:p>
      <w:pPr>
        <w:spacing w:line="400" w:lineRule="exact"/>
        <w:rPr>
          <w:rFonts w:hint="default" w:ascii="微软雅黑" w:hAnsi="微软雅黑" w:eastAsia="微软雅黑" w:cs="微软雅黑"/>
          <w:color w:val="000000"/>
          <w:kern w:val="0"/>
          <w:sz w:val="24"/>
          <w:szCs w:val="24"/>
          <w:lang w:val="en-US" w:eastAsia="zh-CN"/>
        </w:rPr>
      </w:pPr>
      <w:r>
        <w:rPr>
          <w:rFonts w:hint="eastAsia" w:ascii="微软雅黑" w:hAnsi="微软雅黑" w:eastAsia="微软雅黑" w:cs="微软雅黑"/>
          <w:color w:val="000000"/>
          <w:kern w:val="0"/>
          <w:sz w:val="24"/>
          <w:szCs w:val="24"/>
        </w:rPr>
        <w:t>QQ：</w:t>
      </w:r>
      <w:r>
        <w:rPr>
          <w:rFonts w:hint="eastAsia" w:ascii="微软雅黑" w:hAnsi="微软雅黑" w:eastAsia="微软雅黑" w:cs="微软雅黑"/>
          <w:color w:val="000000"/>
          <w:kern w:val="0"/>
          <w:sz w:val="24"/>
          <w:szCs w:val="24"/>
          <w:lang w:val="en-US" w:eastAsia="zh-CN"/>
        </w:rPr>
        <w:t>715038825</w:t>
      </w:r>
    </w:p>
    <w:p>
      <w:pPr>
        <w:spacing w:line="400" w:lineRule="exact"/>
        <w:rPr>
          <w:rFonts w:hint="eastAsia" w:ascii="微软雅黑" w:hAnsi="微软雅黑" w:eastAsia="微软雅黑" w:cs="微软雅黑"/>
          <w:color w:val="000000" w:themeColor="text1"/>
          <w:kern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kern w:val="0"/>
          <w:sz w:val="24"/>
          <w:szCs w:val="24"/>
          <w:lang w:val="en-US" w:eastAsia="zh-CN"/>
          <w14:textFill>
            <w14:solidFill>
              <w14:schemeClr w14:val="tx1"/>
            </w14:solidFill>
          </w14:textFill>
        </w:rPr>
        <w:t>E-mail</w:t>
      </w:r>
      <w:r>
        <w:rPr>
          <w:rFonts w:hint="eastAsia" w:ascii="微软雅黑" w:hAnsi="微软雅黑" w:eastAsia="微软雅黑" w:cs="微软雅黑"/>
          <w:color w:val="000000" w:themeColor="text1"/>
          <w:kern w:val="0"/>
          <w:sz w:val="24"/>
          <w:szCs w:val="24"/>
          <w:lang w:eastAsia="zh-CN"/>
          <w14:textFill>
            <w14:solidFill>
              <w14:schemeClr w14:val="tx1"/>
            </w14:solidFill>
          </w14:textFill>
        </w:rPr>
        <w:t>：</w:t>
      </w:r>
      <w:r>
        <w:rPr>
          <w:rFonts w:hint="eastAsia" w:ascii="微软雅黑" w:hAnsi="微软雅黑" w:eastAsia="微软雅黑" w:cs="微软雅黑"/>
          <w:color w:val="000000" w:themeColor="text1"/>
          <w:kern w:val="0"/>
          <w:sz w:val="24"/>
          <w:szCs w:val="24"/>
          <w:lang w:val="en-US" w:eastAsia="zh-CN"/>
          <w14:textFill>
            <w14:solidFill>
              <w14:schemeClr w14:val="tx1"/>
            </w14:solidFill>
          </w14:textFill>
        </w:rPr>
        <w:t>zhulizhong</w:t>
      </w:r>
      <w:r>
        <w:rPr>
          <w:rFonts w:hint="eastAsia" w:ascii="微软雅黑" w:hAnsi="微软雅黑" w:eastAsia="微软雅黑" w:cs="微软雅黑"/>
          <w:color w:val="000000" w:themeColor="text1"/>
          <w:kern w:val="0"/>
          <w:sz w:val="24"/>
          <w:szCs w:val="24"/>
          <w:lang w:eastAsia="zh-CN"/>
          <w14:textFill>
            <w14:solidFill>
              <w14:schemeClr w14:val="tx1"/>
            </w14:solidFill>
          </w14:textFill>
        </w:rPr>
        <w:t>@hlzqexpo.com</w:t>
      </w:r>
    </w:p>
    <w:p>
      <w:pPr>
        <w:widowControl/>
        <w:spacing w:before="120" w:line="0" w:lineRule="atLeast"/>
        <w:jc w:val="left"/>
        <w:rPr>
          <w:rFonts w:hint="eastAsia" w:ascii="微软雅黑" w:hAnsi="微软雅黑" w:eastAsia="微软雅黑" w:cs="微软雅黑"/>
          <w:sz w:val="24"/>
          <w:szCs w:val="24"/>
        </w:rPr>
      </w:pPr>
      <w:r>
        <w:rPr>
          <w:rFonts w:hint="eastAsia" w:ascii="微软雅黑" w:hAnsi="微软雅黑" w:eastAsia="微软雅黑" w:cs="微软雅黑"/>
          <w:color w:val="000000" w:themeColor="text1"/>
          <w:kern w:val="0"/>
          <w:sz w:val="24"/>
          <w:szCs w:val="24"/>
          <w:lang w:val="en-US" w:eastAsia="zh-CN"/>
          <w14:textFill>
            <w14:solidFill>
              <w14:schemeClr w14:val="tx1"/>
            </w14:solidFill>
          </w14:textFill>
        </w:rPr>
        <w:t>Web</w:t>
      </w:r>
      <w:r>
        <w:rPr>
          <w:rFonts w:hint="eastAsia" w:ascii="微软雅黑" w:hAnsi="微软雅黑" w:eastAsia="微软雅黑" w:cs="微软雅黑"/>
          <w:color w:val="000000" w:themeColor="text1"/>
          <w:kern w:val="0"/>
          <w:sz w:val="24"/>
          <w:szCs w:val="24"/>
          <w14:textFill>
            <w14:solidFill>
              <w14:schemeClr w14:val="tx1"/>
            </w14:solidFill>
          </w14:textFill>
        </w:rPr>
        <w:t>：www.chinaholine.com</w:t>
      </w:r>
    </w:p>
    <w:sectPr>
      <w:headerReference r:id="rId3" w:type="default"/>
      <w:footerReference r:id="rId4" w:type="default"/>
      <w:pgSz w:w="11906" w:h="16838"/>
      <w:pgMar w:top="1383" w:right="1080" w:bottom="1327" w:left="108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微软雅黑" w:hAnsi="微软雅黑" w:eastAsia="微软雅黑" w:cs="微软雅黑"/>
        <w:sz w:val="20"/>
        <w:szCs w:val="20"/>
        <w:lang w:val="en-US" w:eastAsia="zh-CN"/>
      </w:rPr>
      <w:t xml:space="preserve">米娜/宏联中企：15210323504/同微信     </w:t>
    </w:r>
    <w:r>
      <w:rPr>
        <w:rFonts w:hint="eastAsia" w:ascii="微软雅黑" w:hAnsi="微软雅黑" w:eastAsia="微软雅黑" w:cs="微软雅黑"/>
        <w:sz w:val="20"/>
        <w:szCs w:val="20"/>
      </w:rPr>
      <w:t>Web</w:t>
    </w:r>
    <w:r>
      <w:rPr>
        <w:rFonts w:hint="eastAsia" w:ascii="微软雅黑" w:hAnsi="微软雅黑" w:eastAsia="微软雅黑" w:cs="微软雅黑"/>
        <w:sz w:val="20"/>
        <w:szCs w:val="20"/>
        <w:lang w:val="en-US" w:eastAsia="zh-CN"/>
      </w:rPr>
      <w:t>:</w:t>
    </w:r>
    <w:r>
      <w:rPr>
        <w:rFonts w:hint="eastAsia" w:ascii="微软雅黑" w:hAnsi="微软雅黑" w:eastAsia="微软雅黑" w:cs="微软雅黑"/>
        <w:sz w:val="20"/>
        <w:szCs w:val="20"/>
      </w:rPr>
      <w:t xml:space="preserve">www.chinaholine.com </w:t>
    </w:r>
    <w:r>
      <w:rPr>
        <w:rFonts w:hint="eastAsia" w:ascii="宋体" w:hAnsi="宋体"/>
        <w:sz w:val="20"/>
        <w:szCs w:val="20"/>
      </w:rPr>
      <w:t xml:space="preserve"> </w:t>
    </w:r>
    <w:r>
      <w:rPr>
        <w:rFonts w:hint="eastAsia" w:ascii="微软雅黑" w:hAnsi="微软雅黑" w:eastAsia="微软雅黑" w:cs="微软雅黑"/>
        <w:sz w:val="20"/>
        <w:szCs w:val="20"/>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drawing>
        <wp:anchor distT="0" distB="0" distL="114300" distR="114300" simplePos="0" relativeHeight="251659264" behindDoc="0" locked="0" layoutInCell="1" allowOverlap="1">
          <wp:simplePos x="0" y="0"/>
          <wp:positionH relativeFrom="column">
            <wp:posOffset>2495550</wp:posOffset>
          </wp:positionH>
          <wp:positionV relativeFrom="paragraph">
            <wp:posOffset>-571500</wp:posOffset>
          </wp:positionV>
          <wp:extent cx="1880870" cy="846455"/>
          <wp:effectExtent l="0" t="0" r="5080" b="1079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stretch>
                    <a:fillRect/>
                  </a:stretch>
                </pic:blipFill>
                <pic:spPr>
                  <a:xfrm>
                    <a:off x="0" y="0"/>
                    <a:ext cx="1880870" cy="846455"/>
                  </a:xfrm>
                  <a:prstGeom prst="rect">
                    <a:avLst/>
                  </a:prstGeom>
                  <a:noFill/>
                  <a:ln w="9525">
                    <a:noFill/>
                  </a:ln>
                </pic:spPr>
              </pic:pic>
            </a:graphicData>
          </a:graphic>
        </wp:anchor>
      </w:drawing>
    </w:r>
    <w:r>
      <w:drawing>
        <wp:anchor distT="0" distB="0" distL="114300" distR="114300" simplePos="0" relativeHeight="251660288" behindDoc="0" locked="0" layoutInCell="1" allowOverlap="1">
          <wp:simplePos x="0" y="0"/>
          <wp:positionH relativeFrom="column">
            <wp:posOffset>5086350</wp:posOffset>
          </wp:positionH>
          <wp:positionV relativeFrom="paragraph">
            <wp:posOffset>-552450</wp:posOffset>
          </wp:positionV>
          <wp:extent cx="1776730" cy="800100"/>
          <wp:effectExtent l="0" t="0" r="13970" b="0"/>
          <wp:wrapSquare wrapText="bothSides"/>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
                  <a:stretch>
                    <a:fillRect/>
                  </a:stretch>
                </pic:blipFill>
                <pic:spPr>
                  <a:xfrm>
                    <a:off x="0" y="0"/>
                    <a:ext cx="1776730" cy="800100"/>
                  </a:xfrm>
                  <a:prstGeom prst="rect">
                    <a:avLst/>
                  </a:prstGeom>
                  <a:noFill/>
                  <a:ln w="9525">
                    <a:noFill/>
                  </a:ln>
                </pic:spPr>
              </pic:pic>
            </a:graphicData>
          </a:graphic>
        </wp:anchor>
      </w:drawing>
    </w:r>
    <w:r>
      <w:drawing>
        <wp:anchor distT="0" distB="0" distL="114300" distR="114300" simplePos="0" relativeHeight="251658240" behindDoc="0" locked="0" layoutInCell="1" allowOverlap="1">
          <wp:simplePos x="0" y="0"/>
          <wp:positionH relativeFrom="column">
            <wp:posOffset>-695325</wp:posOffset>
          </wp:positionH>
          <wp:positionV relativeFrom="paragraph">
            <wp:posOffset>-552450</wp:posOffset>
          </wp:positionV>
          <wp:extent cx="2159000" cy="856615"/>
          <wp:effectExtent l="0" t="0" r="12700" b="63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
                  <a:stretch>
                    <a:fillRect/>
                  </a:stretch>
                </pic:blipFill>
                <pic:spPr>
                  <a:xfrm>
                    <a:off x="0" y="0"/>
                    <a:ext cx="2159000" cy="856615"/>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571086"/>
    <w:rsid w:val="00954E20"/>
    <w:rsid w:val="01571086"/>
    <w:rsid w:val="04F63B2C"/>
    <w:rsid w:val="07DE7AFC"/>
    <w:rsid w:val="0BC605D1"/>
    <w:rsid w:val="0C201768"/>
    <w:rsid w:val="0EDD648A"/>
    <w:rsid w:val="12892FEC"/>
    <w:rsid w:val="26B70781"/>
    <w:rsid w:val="28AB4E56"/>
    <w:rsid w:val="34086F82"/>
    <w:rsid w:val="36FF5168"/>
    <w:rsid w:val="3B0955B3"/>
    <w:rsid w:val="447A71AA"/>
    <w:rsid w:val="51B523D8"/>
    <w:rsid w:val="55B666FF"/>
    <w:rsid w:val="62E91F84"/>
    <w:rsid w:val="636A5943"/>
    <w:rsid w:val="67F41235"/>
    <w:rsid w:val="6B9A4625"/>
    <w:rsid w:val="73D907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Body Text Indent"/>
    <w:basedOn w:val="1"/>
    <w:qFormat/>
    <w:uiPriority w:val="0"/>
    <w:pPr>
      <w:snapToGrid w:val="0"/>
      <w:spacing w:line="500" w:lineRule="atLeast"/>
      <w:ind w:firstLine="570"/>
    </w:pPr>
    <w:rPr>
      <w:sz w:val="28"/>
    </w:rPr>
  </w:style>
  <w:style w:type="paragraph" w:styleId="3">
    <w:name w:val="Plain Text"/>
    <w:basedOn w:val="1"/>
    <w:qFormat/>
    <w:uiPriority w:val="0"/>
    <w:rPr>
      <w:rFonts w:ascii="宋体" w:hAnsi="Courier New"/>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Hyperlink"/>
    <w:basedOn w:val="7"/>
    <w:unhideWhenUsed/>
    <w:qFormat/>
    <w:uiPriority w:val="99"/>
    <w:rPr>
      <w:color w:val="0000FF"/>
      <w:u w:val="single"/>
    </w:rPr>
  </w:style>
  <w:style w:type="character" w:customStyle="1" w:styleId="9">
    <w:name w:val="style371"/>
    <w:qFormat/>
    <w:uiPriority w:val="0"/>
    <w:rPr>
      <w:rFonts w:cs="Times New Roman"/>
      <w:color w:val="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7.png"/><Relationship Id="rId8" Type="http://schemas.openxmlformats.org/officeDocument/2006/relationships/image" Target="media/image6.pn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1555</Words>
  <Characters>1702</Characters>
  <Lines>0</Lines>
  <Paragraphs>0</Paragraphs>
  <TotalTime>0</TotalTime>
  <ScaleCrop>false</ScaleCrop>
  <LinksUpToDate>false</LinksUpToDate>
  <CharactersWithSpaces>1719</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2018-12-28T01:15:00Z</dcterms:created>
  <dc:creator>米娜-海达展览</dc:creator>
  <cp:lastModifiedBy>网纵会展网-Lucius</cp:lastModifiedBy>
  <dcterms:modified xsi:type="dcterms:W3CDTF">2019-09-12T13:59:25Z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