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1725" w:right="2127" w:firstLine="0"/>
        <w:jc w:val="center"/>
        <w:rPr>
          <w:b/>
          <w:sz w:val="44"/>
        </w:rPr>
      </w:pPr>
      <w:r>
        <w:rPr>
          <w:b/>
          <w:sz w:val="44"/>
        </w:rPr>
        <w:t>2019 上海新零售生鲜食材展</w:t>
      </w:r>
    </w:p>
    <w:p>
      <w:pPr>
        <w:pStyle w:val="BodyText"/>
        <w:spacing w:line="228" w:lineRule="auto" w:before="374"/>
        <w:ind w:left="302" w:right="5323"/>
      </w:pPr>
      <w:r>
        <w:rPr/>
        <w:t>展会时间：2019</w:t>
      </w:r>
      <w:r>
        <w:rPr>
          <w:spacing w:val="-7"/>
        </w:rPr>
        <w:t> 年 </w:t>
      </w:r>
      <w:r>
        <w:rPr/>
        <w:t>12</w:t>
      </w:r>
      <w:r>
        <w:rPr>
          <w:spacing w:val="-6"/>
        </w:rPr>
        <w:t> 月 </w:t>
      </w:r>
      <w:r>
        <w:rPr/>
        <w:t>10-12</w:t>
      </w:r>
      <w:r>
        <w:rPr>
          <w:spacing w:val="-5"/>
        </w:rPr>
        <w:t> 日</w:t>
      </w:r>
      <w:r>
        <w:rPr>
          <w:b/>
          <w:color w:val="FF0000"/>
        </w:rPr>
        <w:t>（一年一届</w:t>
      </w:r>
      <w:r>
        <w:rPr>
          <w:b/>
          <w:color w:val="FF0000"/>
          <w:spacing w:val="-15"/>
        </w:rPr>
        <w:t>） </w:t>
      </w:r>
      <w:r>
        <w:rPr>
          <w:spacing w:val="2"/>
        </w:rPr>
        <w:t>展览地址：上海新国际博览中心 </w:t>
      </w:r>
      <w:r>
        <w:rPr/>
        <w:t>N1-N5</w:t>
      </w:r>
    </w:p>
    <w:p>
      <w:pPr>
        <w:pStyle w:val="BodyText"/>
        <w:spacing w:line="306" w:lineRule="exact"/>
        <w:ind w:left="302"/>
      </w:pPr>
      <w:r>
        <w:rPr>
          <w:spacing w:val="2"/>
        </w:rPr>
        <w:t>主办单位： 跨采广告</w:t>
      </w:r>
      <w:r>
        <w:rPr/>
        <w:t>（上海）有限公司</w:t>
      </w:r>
    </w:p>
    <w:p>
      <w:pPr>
        <w:pStyle w:val="BodyText"/>
        <w:spacing w:line="322" w:lineRule="exact"/>
        <w:ind w:left="302"/>
      </w:pPr>
      <w:r>
        <w:rPr/>
        <w:t>合作单位：厦门市食品行业协会 江苏餐饮协会 上海水产行业协会 第三只眼看零售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</w:pPr>
      <w:r>
        <w:rPr>
          <w:color w:val="545454"/>
        </w:rPr>
        <w:t>展会概况</w:t>
      </w:r>
      <w:r>
        <w:rPr/>
        <w:t>：</w:t>
      </w:r>
    </w:p>
    <w:p>
      <w:pPr>
        <w:pStyle w:val="BodyText"/>
        <w:spacing w:line="225" w:lineRule="auto" w:before="95"/>
        <w:ind w:left="302" w:right="695" w:firstLine="359"/>
        <w:jc w:val="both"/>
      </w:pPr>
      <w:r>
        <w:rPr/>
        <w:t>全球自有品牌产品亚洲展（以下简称：自有品牌上海展）是国内唯一的以零售自有品牌产品展示交易为</w:t>
      </w:r>
      <w:r>
        <w:rPr>
          <w:spacing w:val="-2"/>
        </w:rPr>
        <w:t>主题的展会。展会由上海市品牌授权经营企业协会自有品牌专业委员会</w:t>
      </w:r>
      <w:r>
        <w:rPr/>
        <w:t>（</w:t>
      </w:r>
      <w:r>
        <w:rPr>
          <w:spacing w:val="-1"/>
        </w:rPr>
        <w:t>以下简称：</w:t>
      </w:r>
      <w:r>
        <w:rPr>
          <w:spacing w:val="-2"/>
        </w:rPr>
        <w:t>PLSC）</w:t>
      </w:r>
      <w:r>
        <w:rPr>
          <w:spacing w:val="-3"/>
        </w:rPr>
        <w:t>和美国自有品牌</w:t>
      </w:r>
      <w:r>
        <w:rPr/>
        <w:t>制造商协会（PLMA）共同主办。</w:t>
      </w:r>
    </w:p>
    <w:p>
      <w:pPr>
        <w:pStyle w:val="BodyText"/>
        <w:spacing w:line="225" w:lineRule="auto" w:before="1"/>
        <w:ind w:left="302" w:right="697" w:firstLine="359"/>
        <w:jc w:val="both"/>
      </w:pPr>
      <w:r>
        <w:rPr>
          <w:spacing w:val="-1"/>
        </w:rPr>
        <w:t>全球自有品牌产品亚洲展在 </w:t>
      </w:r>
      <w:r>
        <w:rPr/>
        <w:t>2018</w:t>
      </w:r>
      <w:r>
        <w:rPr>
          <w:spacing w:val="-4"/>
        </w:rPr>
        <w:t> 年举办第九届，展出面积近 </w:t>
      </w:r>
      <w:r>
        <w:rPr/>
        <w:t>3</w:t>
      </w:r>
      <w:r>
        <w:rPr>
          <w:spacing w:val="-4"/>
        </w:rPr>
        <w:t> 万平方，参展商近 </w:t>
      </w:r>
      <w:r>
        <w:rPr/>
        <w:t>650</w:t>
      </w:r>
      <w:r>
        <w:rPr>
          <w:spacing w:val="-4"/>
        </w:rPr>
        <w:t> 家。展期根据零售圈热门的生鲜食材板块需求，特设“生鲜食材区域”。</w:t>
      </w:r>
    </w:p>
    <w:p>
      <w:pPr>
        <w:spacing w:line="225" w:lineRule="auto" w:before="0"/>
        <w:ind w:left="661" w:right="4701" w:firstLine="0"/>
        <w:jc w:val="left"/>
        <w:rPr>
          <w:sz w:val="18"/>
        </w:rPr>
      </w:pPr>
      <w:r>
        <w:rPr>
          <w:b/>
          <w:spacing w:val="1"/>
          <w:sz w:val="18"/>
        </w:rPr>
        <w:t>全新的生鲜食材板块首次就吸引了 </w:t>
      </w:r>
      <w:r>
        <w:rPr>
          <w:b/>
          <w:sz w:val="18"/>
        </w:rPr>
        <w:t>30</w:t>
      </w:r>
      <w:r>
        <w:rPr>
          <w:b/>
          <w:spacing w:val="2"/>
          <w:sz w:val="18"/>
        </w:rPr>
        <w:t> 多家展商： </w:t>
      </w:r>
      <w:r>
        <w:rPr>
          <w:spacing w:val="1"/>
          <w:sz w:val="18"/>
        </w:rPr>
        <w:t>海南的亚热带果蔬、富硒产品、文昌鸡、野生大虾； </w:t>
      </w:r>
      <w:r>
        <w:rPr>
          <w:sz w:val="18"/>
        </w:rPr>
        <w:t>福建武夷山的当地特产；</w:t>
      </w:r>
    </w:p>
    <w:p>
      <w:pPr>
        <w:pStyle w:val="BodyText"/>
        <w:spacing w:line="225" w:lineRule="auto" w:before="1"/>
        <w:ind w:left="661" w:right="5601"/>
      </w:pPr>
      <w:r>
        <w:rPr/>
        <w:t>新疆的可克达拉海牧牛肉、阿克苏苹果； 河北的马场梨、羊肉、福建的蜜柚；</w:t>
      </w:r>
    </w:p>
    <w:p>
      <w:pPr>
        <w:pStyle w:val="BodyText"/>
        <w:spacing w:line="308" w:lineRule="exact"/>
        <w:ind w:left="661"/>
      </w:pPr>
      <w:r>
        <w:rPr/>
        <w:t>青岛的预制食品</w:t>
      </w:r>
    </w:p>
    <w:p>
      <w:pPr>
        <w:pStyle w:val="BodyText"/>
        <w:spacing w:line="322" w:lineRule="exact"/>
        <w:ind w:left="661"/>
      </w:pPr>
      <w:r>
        <w:rPr/>
        <w:t>泰国热带水果、热带干果。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25" w:lineRule="auto" w:before="1"/>
        <w:ind w:left="302" w:right="702" w:firstLine="359"/>
      </w:pPr>
      <w:r>
        <w:rPr/>
        <w:t>参加本届展会的生鲜企业对展会给予了充分肯定，展会所提供的平台，使他们直接接触到了精准度更高的全国零售商。</w:t>
      </w:r>
    </w:p>
    <w:p>
      <w:pPr>
        <w:pStyle w:val="BodyText"/>
        <w:spacing w:before="17"/>
        <w:rPr>
          <w:sz w:val="16"/>
        </w:rPr>
      </w:pPr>
    </w:p>
    <w:p>
      <w:pPr>
        <w:pStyle w:val="BodyText"/>
        <w:spacing w:line="225" w:lineRule="auto"/>
        <w:ind w:left="302" w:right="697" w:firstLine="359"/>
        <w:jc w:val="both"/>
      </w:pPr>
      <w:r>
        <w:rPr/>
        <w:t>迎合全球自有品牌产品亚洲展第十届的推进，同期联合主办“2019</w:t>
      </w:r>
      <w:r>
        <w:rPr>
          <w:spacing w:val="-9"/>
        </w:rPr>
        <w:t> 上海新零售生鲜食材展”。作为生活</w:t>
      </w:r>
      <w:r>
        <w:rPr/>
        <w:t>必需一日三餐，生鲜食材具有刚需特性，随着人们的收入及生活品质提高，对生鲜食材有更高品质、具差异化的消费升级需求。在“新零售”的大趋势下，为零售商打造自营生鲜食材品类的开发提供最为高效、直接的盛会。</w:t>
      </w:r>
    </w:p>
    <w:p>
      <w:pPr>
        <w:pStyle w:val="BodyText"/>
        <w:spacing w:before="1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956310</wp:posOffset>
            </wp:positionH>
            <wp:positionV relativeFrom="paragraph">
              <wp:posOffset>187384</wp:posOffset>
            </wp:positionV>
            <wp:extent cx="2844289" cy="189280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289" cy="1892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3874770</wp:posOffset>
            </wp:positionH>
            <wp:positionV relativeFrom="paragraph">
              <wp:posOffset>188654</wp:posOffset>
            </wp:positionV>
            <wp:extent cx="2978090" cy="1888236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090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headerReference w:type="default" r:id="rId5"/>
          <w:type w:val="continuous"/>
          <w:pgSz w:w="11910" w:h="16840"/>
          <w:pgMar w:header="852" w:top="1940" w:bottom="280" w:left="140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pStyle w:val="Heading1"/>
        <w:spacing w:before="37"/>
      </w:pPr>
      <w:r>
        <w:rPr/>
        <w:t>市场分析：</w:t>
      </w:r>
    </w:p>
    <w:p>
      <w:pPr>
        <w:pStyle w:val="BodyText"/>
        <w:spacing w:line="225" w:lineRule="auto" w:before="95"/>
        <w:ind w:left="302" w:right="697" w:firstLine="271"/>
        <w:jc w:val="both"/>
      </w:pPr>
      <w:r>
        <w:rPr>
          <w:color w:val="181818"/>
        </w:rPr>
        <w:t>根据尼尔森对亚太零售的研究，亚洲消费者食品账单的 50</w:t>
      </w:r>
      <w:r>
        <w:rPr>
          <w:color w:val="181818"/>
          <w:spacing w:val="-1"/>
        </w:rPr>
        <w:t>%以上花费在生鲜食材上。中国有着庞大的人</w:t>
      </w:r>
      <w:r>
        <w:rPr>
          <w:color w:val="181818"/>
        </w:rPr>
        <w:t>口基数，生鲜消费市场空间广阔。中国消费者通过高频次购买生鲜来保证产品的新鲜度，平均每周购买新鲜</w:t>
      </w:r>
      <w:r>
        <w:rPr>
          <w:color w:val="181818"/>
          <w:spacing w:val="-4"/>
        </w:rPr>
        <w:t>食品 </w:t>
      </w:r>
      <w:r>
        <w:rPr>
          <w:color w:val="181818"/>
        </w:rPr>
        <w:t>3</w:t>
      </w:r>
      <w:r>
        <w:rPr>
          <w:color w:val="181818"/>
          <w:spacing w:val="-4"/>
        </w:rPr>
        <w:t> 次，这—数据高于全球平均值 </w:t>
      </w:r>
      <w:r>
        <w:rPr>
          <w:color w:val="181818"/>
        </w:rPr>
        <w:t>2.5</w:t>
      </w:r>
      <w:r>
        <w:rPr>
          <w:color w:val="181818"/>
          <w:spacing w:val="-4"/>
        </w:rPr>
        <w:t> 次。其中，水果和蔬菜的购买次数最多(每周平均 </w:t>
      </w:r>
      <w:r>
        <w:rPr>
          <w:color w:val="181818"/>
        </w:rPr>
        <w:t>4.48</w:t>
      </w:r>
      <w:r>
        <w:rPr>
          <w:color w:val="181818"/>
          <w:spacing w:val="-3"/>
        </w:rPr>
        <w:t> 次)，其次是</w:t>
      </w:r>
    </w:p>
    <w:p>
      <w:pPr>
        <w:pStyle w:val="BodyText"/>
        <w:spacing w:line="308" w:lineRule="exact"/>
        <w:ind w:left="302"/>
        <w:jc w:val="both"/>
      </w:pPr>
      <w:r>
        <w:rPr>
          <w:color w:val="181818"/>
        </w:rPr>
        <w:t>鱼类和海产品(每周平均 2.39 次)。</w:t>
      </w:r>
    </w:p>
    <w:p>
      <w:pPr>
        <w:pStyle w:val="BodyText"/>
        <w:spacing w:line="225" w:lineRule="auto" w:before="4"/>
        <w:ind w:left="302" w:right="651" w:firstLine="268"/>
        <w:jc w:val="right"/>
      </w:pPr>
      <w:r>
        <w:rPr>
          <w:color w:val="181818"/>
          <w:spacing w:val="-7"/>
        </w:rPr>
        <w:t>京客隆、物美、首航等曾以联营模式将生鲜经营外包的各超市均开始收回经营权。超市生鲜业务完成了从</w:t>
      </w:r>
      <w:r>
        <w:rPr>
          <w:color w:val="181818"/>
          <w:spacing w:val="-1"/>
        </w:rPr>
        <w:t>曾经的“鸡肋”到“言必生鲜”的转身，其鲜活度、价格与农贸市场的差距逐渐缩小，甚至超越农贸市场。</w:t>
      </w:r>
      <w:r>
        <w:rPr>
          <w:color w:val="181818"/>
          <w:spacing w:val="-6"/>
        </w:rPr>
        <w:t>加之食品安全、购物环境等多重优势下，居民进超市买生鲜的消费习惯逐渐成型巩固。</w:t>
      </w:r>
      <w:r>
        <w:rPr>
          <w:color w:val="181818"/>
        </w:rPr>
        <w:t>2000</w:t>
      </w:r>
      <w:r>
        <w:rPr>
          <w:color w:val="181818"/>
          <w:spacing w:val="-3"/>
        </w:rPr>
        <w:t> 年全国重点城市</w:t>
      </w:r>
      <w:r>
        <w:rPr>
          <w:color w:val="181818"/>
          <w:spacing w:val="-5"/>
        </w:rPr>
        <w:t>平均仅有 </w:t>
      </w:r>
      <w:r>
        <w:rPr>
          <w:color w:val="181818"/>
        </w:rPr>
        <w:t>10.34</w:t>
      </w:r>
      <w:r>
        <w:rPr>
          <w:color w:val="181818"/>
          <w:spacing w:val="-1"/>
        </w:rPr>
        <w:t>%的居民在超市购买生鲜，而 </w:t>
      </w:r>
      <w:r>
        <w:rPr>
          <w:color w:val="181818"/>
        </w:rPr>
        <w:t>2012</w:t>
      </w:r>
      <w:r>
        <w:rPr>
          <w:color w:val="181818"/>
          <w:spacing w:val="-4"/>
        </w:rPr>
        <w:t> 年生鲜超市渠道占比增长至 </w:t>
      </w:r>
      <w:r>
        <w:rPr>
          <w:color w:val="181818"/>
        </w:rPr>
        <w:t>37%，并呈逐年上升态势。在大众基础生鲜消费这个存量市场中，社区生鲜业态一方面通过满足当下消费升级和便捷性的双重需求，</w:t>
      </w:r>
    </w:p>
    <w:p>
      <w:pPr>
        <w:pStyle w:val="BodyText"/>
        <w:spacing w:line="225" w:lineRule="auto" w:before="2"/>
        <w:ind w:left="302" w:right="698"/>
        <w:jc w:val="both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1367155</wp:posOffset>
            </wp:positionH>
            <wp:positionV relativeFrom="paragraph">
              <wp:posOffset>668473</wp:posOffset>
            </wp:positionV>
            <wp:extent cx="5033989" cy="279673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989" cy="279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</w:rPr>
        <w:t>如同当年“农改超”一般“革了传统农贸市场的命”;另一方面，经营优秀的社区生鲜连锁还能通过有竞争力的价格、更贴近社区的优势，截流大型商超，抢占超市的市场份额。供需缺口和政策扶持、外加资本的助推下，社区生鲜或将成为线下生鲜渠道的第三级。</w:t>
      </w:r>
    </w:p>
    <w:p>
      <w:pPr>
        <w:pStyle w:val="BodyText"/>
        <w:spacing w:before="16"/>
        <w:rPr>
          <w:sz w:val="11"/>
        </w:rPr>
      </w:pPr>
    </w:p>
    <w:p>
      <w:pPr>
        <w:pStyle w:val="Heading1"/>
      </w:pPr>
      <w:r>
        <w:rPr/>
        <w:t>目标观众：</w:t>
      </w:r>
    </w:p>
    <w:p>
      <w:pPr>
        <w:spacing w:before="78"/>
        <w:ind w:left="721" w:right="0" w:firstLine="0"/>
        <w:jc w:val="left"/>
        <w:rPr>
          <w:b/>
          <w:sz w:val="18"/>
        </w:rPr>
      </w:pPr>
      <w:r>
        <w:rPr>
          <w:b/>
          <w:sz w:val="18"/>
        </w:rPr>
        <w:t>新零售门店、大型商超 、连锁超市、便利连锁、进出口品牌商、社区生鲜店、电商平台</w:t>
      </w:r>
    </w:p>
    <w:p>
      <w:pPr>
        <w:spacing w:before="84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t>参展范围：</w:t>
      </w:r>
    </w:p>
    <w:p>
      <w:pPr>
        <w:spacing w:line="322" w:lineRule="exact" w:before="79"/>
        <w:ind w:left="302" w:right="0" w:firstLine="0"/>
        <w:jc w:val="left"/>
        <w:rPr>
          <w:b/>
          <w:sz w:val="18"/>
        </w:rPr>
      </w:pPr>
      <w:r>
        <w:rPr>
          <w:b/>
          <w:color w:val="333333"/>
          <w:sz w:val="18"/>
        </w:rPr>
        <w:t>参展范围：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12" w:lineRule="exact" w:before="0" w:after="0"/>
        <w:ind w:left="820" w:right="0" w:hanging="519"/>
        <w:jc w:val="left"/>
        <w:rPr>
          <w:b/>
          <w:sz w:val="18"/>
        </w:rPr>
      </w:pPr>
      <w:r>
        <w:rPr>
          <w:b/>
          <w:color w:val="333333"/>
          <w:sz w:val="18"/>
        </w:rPr>
        <w:t>预制食品：速冻面食、速食食品、微波食品、方便汤料、糕点及各类罐头制品等；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12" w:lineRule="exact" w:before="0" w:after="0"/>
        <w:ind w:left="820" w:right="0" w:hanging="519"/>
        <w:jc w:val="left"/>
        <w:rPr>
          <w:b/>
          <w:sz w:val="18"/>
        </w:rPr>
      </w:pPr>
      <w:r>
        <w:rPr>
          <w:b/>
          <w:color w:val="333333"/>
          <w:sz w:val="18"/>
        </w:rPr>
        <w:t>水产海鲜：海鲜冻品、干品、活品、水产调理食品及深加工制品等；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12" w:lineRule="exact" w:before="0" w:after="0"/>
        <w:ind w:left="820" w:right="0" w:hanging="519"/>
        <w:jc w:val="left"/>
        <w:rPr>
          <w:b/>
          <w:sz w:val="18"/>
        </w:rPr>
      </w:pPr>
      <w:r>
        <w:rPr>
          <w:b/>
          <w:color w:val="333333"/>
          <w:sz w:val="18"/>
        </w:rPr>
        <w:t>禽类食品：冷冻/冰鲜肉 速冻家禽、分割禽、禽肉调理食品、禽肉深加工食品、蛋品等；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12" w:lineRule="exact" w:before="0" w:after="0"/>
        <w:ind w:left="820" w:right="0" w:hanging="519"/>
        <w:jc w:val="left"/>
        <w:rPr>
          <w:b/>
          <w:sz w:val="18"/>
        </w:rPr>
      </w:pPr>
      <w:r>
        <w:rPr>
          <w:b/>
          <w:color w:val="333333"/>
          <w:sz w:val="18"/>
        </w:rPr>
        <w:t>蔬菜类 ：有机蔬菜、速冻蔬菜、冻干蔬菜、调理菜、酱菜、泡菜、净菜及各种食用菌等;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12" w:lineRule="exact" w:before="0" w:after="0"/>
        <w:ind w:left="820" w:right="0" w:hanging="519"/>
        <w:jc w:val="left"/>
        <w:rPr>
          <w:b/>
          <w:sz w:val="18"/>
        </w:rPr>
      </w:pPr>
      <w:r>
        <w:rPr>
          <w:b/>
          <w:color w:val="333333"/>
          <w:sz w:val="18"/>
        </w:rPr>
        <w:t>水果类 ：新鲜水果、冻干水果、脱水果干、冷鲜水果等；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22" w:lineRule="exact" w:before="0" w:after="0"/>
        <w:ind w:left="820" w:right="0" w:hanging="519"/>
        <w:jc w:val="left"/>
        <w:rPr>
          <w:b/>
          <w:sz w:val="18"/>
        </w:rPr>
      </w:pPr>
      <w:r>
        <w:rPr>
          <w:b/>
          <w:color w:val="333333"/>
          <w:sz w:val="18"/>
        </w:rPr>
        <w:t>其他食材：牛奶乳品、乳制品、豆制品、米/面（粉）汤料，西餐调味品、火锅调味料等；</w:t>
      </w:r>
    </w:p>
    <w:p>
      <w:pPr>
        <w:spacing w:after="0" w:line="322" w:lineRule="exact"/>
        <w:jc w:val="left"/>
        <w:rPr>
          <w:sz w:val="18"/>
        </w:rPr>
        <w:sectPr>
          <w:pgSz w:w="11910" w:h="16840"/>
          <w:pgMar w:header="852" w:footer="0" w:top="1940" w:bottom="280" w:left="1400" w:right="100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8" w:lineRule="exact" w:before="0" w:after="0"/>
        <w:ind w:left="820" w:right="0" w:hanging="519"/>
        <w:jc w:val="left"/>
        <w:rPr>
          <w:b/>
          <w:sz w:val="18"/>
        </w:rPr>
      </w:pPr>
      <w:r>
        <w:rPr>
          <w:b/>
          <w:color w:val="333333"/>
          <w:sz w:val="18"/>
        </w:rPr>
        <w:t>配餐调料：食用油、酱油、醋、腐乳、鸡精、鸡汁、味精、酱料、调味料等；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22" w:lineRule="exact" w:before="0" w:after="0"/>
        <w:ind w:left="820" w:right="0" w:hanging="519"/>
        <w:jc w:val="left"/>
        <w:rPr>
          <w:b/>
          <w:sz w:val="18"/>
        </w:rPr>
      </w:pPr>
      <w:r>
        <w:rPr>
          <w:b/>
          <w:color w:val="333333"/>
          <w:sz w:val="18"/>
        </w:rPr>
        <w:t>南北干货：菌类香菇、笋干粉丝、果仁类、海产类等。</w:t>
      </w: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302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参展费用：</w:t>
      </w: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261"/>
        <w:gridCol w:w="2775"/>
        <w:gridCol w:w="3219"/>
      </w:tblGrid>
      <w:tr>
        <w:trPr>
          <w:trHeight w:val="311" w:hRule="atLeast"/>
        </w:trPr>
        <w:tc>
          <w:tcPr>
            <w:tcW w:w="1440" w:type="dxa"/>
          </w:tcPr>
          <w:p>
            <w:pPr>
              <w:pStyle w:val="TableParagraph"/>
              <w:spacing w:line="292" w:lineRule="exact"/>
              <w:ind w:right="348"/>
              <w:jc w:val="right"/>
              <w:rPr>
                <w:sz w:val="18"/>
              </w:rPr>
            </w:pPr>
            <w:r>
              <w:rPr>
                <w:sz w:val="18"/>
              </w:rPr>
              <w:t>展位类别</w:t>
            </w:r>
          </w:p>
        </w:tc>
        <w:tc>
          <w:tcPr>
            <w:tcW w:w="1261" w:type="dxa"/>
          </w:tcPr>
          <w:p>
            <w:pPr>
              <w:pStyle w:val="TableParagraph"/>
              <w:spacing w:line="292" w:lineRule="exact"/>
              <w:ind w:left="428" w:right="422"/>
              <w:jc w:val="center"/>
              <w:rPr>
                <w:sz w:val="18"/>
              </w:rPr>
            </w:pPr>
            <w:r>
              <w:rPr>
                <w:sz w:val="18"/>
              </w:rPr>
              <w:t>面积</w:t>
            </w:r>
          </w:p>
        </w:tc>
        <w:tc>
          <w:tcPr>
            <w:tcW w:w="2775" w:type="dxa"/>
          </w:tcPr>
          <w:p>
            <w:pPr>
              <w:pStyle w:val="TableParagraph"/>
              <w:spacing w:line="292" w:lineRule="exact"/>
              <w:ind w:left="1186" w:right="1178"/>
              <w:jc w:val="center"/>
              <w:rPr>
                <w:sz w:val="18"/>
              </w:rPr>
            </w:pPr>
            <w:r>
              <w:rPr>
                <w:sz w:val="18"/>
              </w:rPr>
              <w:t>价格</w:t>
            </w:r>
          </w:p>
        </w:tc>
        <w:tc>
          <w:tcPr>
            <w:tcW w:w="3219" w:type="dxa"/>
          </w:tcPr>
          <w:p>
            <w:pPr>
              <w:pStyle w:val="TableParagraph"/>
              <w:spacing w:line="292" w:lineRule="exact"/>
              <w:ind w:left="1407" w:right="1402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rPr>
          <w:trHeight w:val="906" w:hRule="atLeast"/>
        </w:trPr>
        <w:tc>
          <w:tcPr>
            <w:tcW w:w="1440" w:type="dxa"/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right="3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特装展位</w:t>
            </w:r>
          </w:p>
        </w:tc>
        <w:tc>
          <w:tcPr>
            <w:tcW w:w="1261" w:type="dxa"/>
          </w:tcPr>
          <w:p>
            <w:pPr>
              <w:pStyle w:val="TableParagraph"/>
              <w:spacing w:line="322" w:lineRule="exact" w:before="129"/>
              <w:ind w:left="345"/>
              <w:rPr>
                <w:rFonts w:ascii="Batang" w:hAnsi="Batang" w:eastAsia="Batang" w:hint="eastAsia"/>
                <w:sz w:val="18"/>
              </w:rPr>
            </w:pPr>
            <w:r>
              <w:rPr>
                <w:sz w:val="18"/>
              </w:rPr>
              <w:t>≥36 </w:t>
            </w:r>
            <w:r>
              <w:rPr>
                <w:rFonts w:ascii="Batang" w:hAnsi="Batang" w:eastAsia="Batang" w:hint="eastAsia"/>
                <w:sz w:val="18"/>
              </w:rPr>
              <w:t>㎡</w:t>
            </w:r>
          </w:p>
          <w:p>
            <w:pPr>
              <w:pStyle w:val="TableParagraph"/>
              <w:spacing w:line="322" w:lineRule="exact"/>
              <w:ind w:left="230"/>
              <w:rPr>
                <w:sz w:val="18"/>
              </w:rPr>
            </w:pPr>
            <w:r>
              <w:rPr>
                <w:sz w:val="18"/>
              </w:rPr>
              <w:t>36 </w:t>
            </w:r>
            <w:r>
              <w:rPr>
                <w:rFonts w:ascii="Batang" w:eastAsia="Batang" w:hint="eastAsia"/>
                <w:sz w:val="18"/>
              </w:rPr>
              <w:t>㎡</w:t>
            </w:r>
            <w:r>
              <w:rPr>
                <w:sz w:val="18"/>
              </w:rPr>
              <w:t>起租</w:t>
            </w:r>
          </w:p>
        </w:tc>
        <w:tc>
          <w:tcPr>
            <w:tcW w:w="2775" w:type="dxa"/>
          </w:tcPr>
          <w:p>
            <w:pPr>
              <w:pStyle w:val="TableParagraph"/>
              <w:spacing w:line="225" w:lineRule="auto" w:before="143"/>
              <w:ind w:left="284" w:right="556"/>
              <w:rPr>
                <w:rFonts w:ascii="Batang" w:eastAsia="Batang" w:hint="eastAsia"/>
                <w:sz w:val="18"/>
              </w:rPr>
            </w:pPr>
            <w:r>
              <w:rPr>
                <w:sz w:val="18"/>
              </w:rPr>
              <w:t>国内企业：1350 元/</w:t>
            </w:r>
            <w:r>
              <w:rPr>
                <w:rFonts w:ascii="Batang" w:eastAsia="Batang" w:hint="eastAsia"/>
                <w:sz w:val="18"/>
              </w:rPr>
              <w:t>㎡</w:t>
            </w:r>
            <w:r>
              <w:rPr>
                <w:sz w:val="18"/>
              </w:rPr>
              <w:t>境外企业：250 美元/</w:t>
            </w:r>
            <w:r>
              <w:rPr>
                <w:rFonts w:ascii="Batang" w:eastAsia="Batang" w:hint="eastAsia"/>
                <w:sz w:val="18"/>
              </w:rPr>
              <w:t>㎡</w:t>
            </w:r>
          </w:p>
        </w:tc>
        <w:tc>
          <w:tcPr>
            <w:tcW w:w="3219" w:type="dxa"/>
          </w:tcPr>
          <w:p>
            <w:pPr>
              <w:pStyle w:val="TableParagraph"/>
              <w:spacing w:line="225" w:lineRule="auto" w:before="143"/>
              <w:ind w:left="107" w:right="29"/>
              <w:rPr>
                <w:sz w:val="18"/>
              </w:rPr>
            </w:pPr>
            <w:r>
              <w:rPr>
                <w:sz w:val="18"/>
              </w:rPr>
              <w:t>特装展位不提供任何展架及设施，展商须自行设计搭建展位。</w:t>
            </w:r>
          </w:p>
        </w:tc>
      </w:tr>
      <w:tr>
        <w:trPr>
          <w:trHeight w:val="1250" w:hRule="atLeast"/>
        </w:trPr>
        <w:tc>
          <w:tcPr>
            <w:tcW w:w="1440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right="3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标准展位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462" w:right="278" w:hanging="176"/>
              <w:rPr>
                <w:rFonts w:ascii="Batang" w:hAnsi="Batang" w:eastAsia="Batang" w:hint="eastAsia"/>
                <w:sz w:val="18"/>
              </w:rPr>
            </w:pPr>
            <w:r>
              <w:rPr>
                <w:sz w:val="18"/>
              </w:rPr>
              <w:t>3m×3m 9 </w:t>
            </w:r>
            <w:r>
              <w:rPr>
                <w:rFonts w:ascii="Batang" w:hAnsi="Batang" w:eastAsia="Batang" w:hint="eastAsia"/>
                <w:sz w:val="18"/>
              </w:rPr>
              <w:t>㎡</w:t>
            </w:r>
          </w:p>
        </w:tc>
        <w:tc>
          <w:tcPr>
            <w:tcW w:w="2775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284" w:right="450"/>
              <w:rPr>
                <w:sz w:val="18"/>
              </w:rPr>
            </w:pPr>
            <w:r>
              <w:rPr>
                <w:sz w:val="18"/>
              </w:rPr>
              <w:t>国内企业：13800 元/个境外企业：2500 美元/个</w:t>
            </w:r>
          </w:p>
        </w:tc>
        <w:tc>
          <w:tcPr>
            <w:tcW w:w="3219" w:type="dxa"/>
          </w:tcPr>
          <w:p>
            <w:pPr>
              <w:pStyle w:val="TableParagraph"/>
              <w:spacing w:line="223" w:lineRule="auto" w:before="4"/>
              <w:ind w:left="107" w:right="80"/>
              <w:jc w:val="both"/>
              <w:rPr>
                <w:sz w:val="18"/>
              </w:rPr>
            </w:pPr>
            <w:r>
              <w:rPr>
                <w:spacing w:val="-7"/>
                <w:sz w:val="18"/>
              </w:rPr>
              <w:t>标准展位配备：公司楣板、地毯一张咨</w:t>
            </w:r>
            <w:r>
              <w:rPr>
                <w:spacing w:val="4"/>
                <w:sz w:val="18"/>
              </w:rPr>
              <w:t>询桌 一张洽谈桌 三把椅子  射灯两</w:t>
            </w:r>
            <w:r>
              <w:rPr>
                <w:sz w:val="18"/>
              </w:rPr>
              <w:t>盏、220V</w:t>
            </w:r>
            <w:r>
              <w:rPr>
                <w:spacing w:val="-3"/>
                <w:sz w:val="18"/>
              </w:rPr>
              <w:t> 插座一个。双面开口展位加</w:t>
            </w:r>
          </w:p>
          <w:p>
            <w:pPr>
              <w:pStyle w:val="TableParagraph"/>
              <w:spacing w:line="300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收 1000元。</w:t>
            </w:r>
          </w:p>
        </w:tc>
      </w:tr>
    </w:tbl>
    <w:p>
      <w:pPr>
        <w:pStyle w:val="BodyText"/>
        <w:spacing w:before="14"/>
        <w:rPr>
          <w:b/>
          <w:sz w:val="21"/>
        </w:rPr>
      </w:pPr>
    </w:p>
    <w:p>
      <w:pPr>
        <w:spacing w:before="0"/>
        <w:ind w:left="302" w:right="0" w:firstLine="0"/>
        <w:jc w:val="left"/>
        <w:rPr>
          <w:sz w:val="24"/>
        </w:rPr>
      </w:pPr>
      <w:r>
        <w:rPr>
          <w:b/>
          <w:spacing w:val="-1"/>
          <w:sz w:val="24"/>
        </w:rPr>
        <w:t>参展目标</w:t>
      </w:r>
      <w:r>
        <w:rPr>
          <w:sz w:val="24"/>
        </w:rPr>
        <w:t>：</w:t>
      </w:r>
    </w:p>
    <w:p>
      <w:pPr>
        <w:tabs>
          <w:tab w:pos="2906" w:val="left" w:leader="none"/>
        </w:tabs>
        <w:spacing w:line="225" w:lineRule="auto" w:before="93"/>
        <w:ind w:left="1019" w:right="2743" w:firstLine="0"/>
        <w:jc w:val="left"/>
        <w:rPr>
          <w:b/>
          <w:sz w:val="18"/>
        </w:rPr>
      </w:pPr>
      <w:r>
        <w:rPr>
          <w:b/>
          <w:sz w:val="18"/>
        </w:rPr>
        <w:t>寻找新合作伙伴/客户 </w:t>
      </w:r>
      <w:r>
        <w:rPr>
          <w:b/>
          <w:spacing w:val="17"/>
          <w:sz w:val="18"/>
        </w:rPr>
        <w:t> </w:t>
      </w:r>
      <w:r>
        <w:rPr>
          <w:b/>
          <w:sz w:val="18"/>
        </w:rPr>
        <w:t>提升企业品牌/产品/知名度 </w:t>
      </w:r>
      <w:r>
        <w:rPr>
          <w:b/>
          <w:spacing w:val="17"/>
          <w:sz w:val="18"/>
        </w:rPr>
        <w:t> </w:t>
      </w:r>
      <w:r>
        <w:rPr>
          <w:b/>
          <w:sz w:val="18"/>
        </w:rPr>
        <w:t>维护/巩固现有客</w:t>
      </w:r>
      <w:r>
        <w:rPr>
          <w:b/>
          <w:spacing w:val="-12"/>
          <w:sz w:val="18"/>
        </w:rPr>
        <w:t>户</w:t>
      </w:r>
      <w:r>
        <w:rPr>
          <w:b/>
          <w:sz w:val="18"/>
        </w:rPr>
        <w:t>发布新产品/服务</w:t>
        <w:tab/>
        <w:t>扩展销售渠道/收集市场信息</w:t>
      </w:r>
    </w:p>
    <w:p>
      <w:pPr>
        <w:spacing w:before="89"/>
        <w:ind w:left="302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1230503</wp:posOffset>
            </wp:positionH>
            <wp:positionV relativeFrom="paragraph">
              <wp:posOffset>415390</wp:posOffset>
            </wp:positionV>
            <wp:extent cx="4658059" cy="4037838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059" cy="4037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展馆布局：</w:t>
      </w:r>
    </w:p>
    <w:p>
      <w:pPr>
        <w:spacing w:before="144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t>联系人：蒋中原</w:t>
      </w:r>
    </w:p>
    <w:p>
      <w:pPr>
        <w:spacing w:before="181"/>
        <w:ind w:left="302" w:right="0" w:firstLine="0"/>
        <w:jc w:val="left"/>
        <w:rPr>
          <w:b/>
          <w:sz w:val="24"/>
        </w:rPr>
      </w:pPr>
      <w:r>
        <w:rPr>
          <w:b/>
          <w:sz w:val="24"/>
        </w:rPr>
        <w:t>咨询电话：15618977632</w:t>
      </w:r>
    </w:p>
    <w:p>
      <w:pPr>
        <w:spacing w:before="182"/>
        <w:ind w:left="302" w:right="0" w:firstLine="0"/>
        <w:jc w:val="left"/>
        <w:rPr>
          <w:b/>
          <w:sz w:val="24"/>
        </w:rPr>
      </w:pPr>
      <w:hyperlink r:id="rId10">
        <w:r>
          <w:rPr>
            <w:b/>
            <w:sz w:val="24"/>
          </w:rPr>
          <w:t>咨询邮箱：1766414942@qq.com</w:t>
        </w:r>
      </w:hyperlink>
    </w:p>
    <w:sectPr>
      <w:pgSz w:w="11910" w:h="16840"/>
      <w:pgMar w:header="852" w:footer="0" w:top="1940" w:bottom="280" w:left="14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Batang">
    <w:altName w:val="Batang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17952">
          <wp:simplePos x="0" y="0"/>
          <wp:positionH relativeFrom="page">
            <wp:posOffset>1080769</wp:posOffset>
          </wp:positionH>
          <wp:positionV relativeFrom="page">
            <wp:posOffset>541019</wp:posOffset>
          </wp:positionV>
          <wp:extent cx="5407025" cy="67945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702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1797504" from="83.664001pt,97.459984pt" to="511.774001pt,97.459984pt" stroked="true" strokeweight=".72pt" strokecolor="#0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519"/>
        <w:jc w:val="left"/>
      </w:pPr>
      <w:rPr>
        <w:rFonts w:hint="default" w:ascii="微软雅黑" w:hAnsi="微软雅黑" w:eastAsia="微软雅黑" w:cs="微软雅黑"/>
        <w:b/>
        <w:bCs/>
        <w:color w:val="333333"/>
        <w:spacing w:val="-1"/>
        <w:w w:val="100"/>
        <w:sz w:val="18"/>
        <w:szCs w:val="18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88" w:hanging="51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557" w:hanging="51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425" w:hanging="51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294" w:hanging="51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163" w:hanging="51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031" w:hanging="51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00" w:hanging="51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769" w:hanging="51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微软雅黑" w:hAnsi="微软雅黑" w:eastAsia="微软雅黑" w:cs="微软雅黑"/>
      <w:sz w:val="18"/>
      <w:szCs w:val="18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line="312" w:lineRule="exact"/>
      <w:ind w:left="820" w:hanging="519"/>
    </w:pPr>
    <w:rPr>
      <w:rFonts w:ascii="微软雅黑" w:hAnsi="微软雅黑" w:eastAsia="微软雅黑" w:cs="微软雅黑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yperlink" Target="mailto:1766414942@qq.com" TargetMode="Externa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wangyikuo</dc:creator>
  <dcterms:created xsi:type="dcterms:W3CDTF">2019-03-27T02:17:43Z</dcterms:created>
  <dcterms:modified xsi:type="dcterms:W3CDTF">2019-03-27T02:17:43Z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2019-03-27T00:00:00Z</vt:filetime>
  </property>
</Properties>
</file>